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3D299">
      <w:pPr>
        <w:pStyle w:val="3"/>
        <w:keepNext w:val="0"/>
        <w:keepLines w:val="0"/>
        <w:pageBreakBefore w:val="0"/>
        <w:widowControl/>
        <w:kinsoku w:val="0"/>
        <w:wordWrap/>
        <w:overflowPunct/>
        <w:topLinePunct w:val="0"/>
        <w:bidi w:val="0"/>
        <w:adjustRightInd w:val="0"/>
        <w:snapToGrid w:val="0"/>
        <w:spacing w:line="360" w:lineRule="auto"/>
        <w:ind w:left="0" w:right="0"/>
        <w:textAlignment w:val="baseline"/>
        <w:outlineLvl w:val="0"/>
        <w:rPr>
          <w:color w:val="auto"/>
          <w:highlight w:val="none"/>
        </w:rPr>
      </w:pPr>
      <w:r>
        <w:rPr>
          <w:b/>
          <w:bCs/>
          <w:color w:val="auto"/>
          <w:highlight w:val="none"/>
        </w:rPr>
        <w:t>合同编号：</w:t>
      </w:r>
      <w:r>
        <w:rPr>
          <w:rFonts w:hint="eastAsia"/>
          <w:b/>
          <w:bCs/>
          <w:color w:val="auto"/>
          <w:highlight w:val="none"/>
        </w:rPr>
        <w:t>中公交A[202</w:t>
      </w:r>
      <w:r>
        <w:rPr>
          <w:rFonts w:hint="eastAsia"/>
          <w:b/>
          <w:bCs/>
          <w:color w:val="auto"/>
          <w:highlight w:val="none"/>
          <w:lang w:val="en-US" w:eastAsia="zh-CN"/>
        </w:rPr>
        <w:t>5</w:t>
      </w:r>
      <w:r>
        <w:rPr>
          <w:rFonts w:hint="eastAsia"/>
          <w:b/>
          <w:bCs/>
          <w:color w:val="auto"/>
          <w:highlight w:val="none"/>
        </w:rPr>
        <w:t>]</w:t>
      </w:r>
      <w:r>
        <w:rPr>
          <w:rFonts w:hint="eastAsia"/>
          <w:b/>
          <w:bCs/>
          <w:color w:val="auto"/>
          <w:highlight w:val="none"/>
          <w:lang w:val="en-US" w:eastAsia="zh-CN"/>
        </w:rPr>
        <w:t xml:space="preserve">   </w:t>
      </w:r>
      <w:r>
        <w:rPr>
          <w:rFonts w:hint="eastAsia"/>
          <w:b/>
          <w:bCs/>
          <w:color w:val="auto"/>
          <w:highlight w:val="none"/>
        </w:rPr>
        <w:t>号</w:t>
      </w:r>
    </w:p>
    <w:p w14:paraId="6764199A">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仿宋" w:hAnsi="仿宋" w:eastAsia="仿宋" w:cs="仿宋"/>
          <w:color w:val="auto"/>
          <w:sz w:val="28"/>
          <w:szCs w:val="28"/>
          <w:highlight w:val="none"/>
        </w:rPr>
      </w:pPr>
    </w:p>
    <w:p w14:paraId="5482E4A0">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3C56ABDF">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664A56CB">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54DAEBF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757BE64D">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756CFB35">
      <w:pPr>
        <w:pStyle w:val="3"/>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color w:val="auto"/>
          <w:highlight w:val="none"/>
        </w:rPr>
      </w:pPr>
      <w:r>
        <w:rPr>
          <w:rFonts w:ascii="Times New Roman" w:hAnsi="Times New Roman" w:eastAsia="Times New Roman" w:cs="Times New Roman"/>
          <w:b/>
          <w:bCs/>
          <w:color w:val="auto"/>
          <w:spacing w:val="-1"/>
          <w:highlight w:val="none"/>
        </w:rPr>
        <w:t>2</w:t>
      </w:r>
      <w:r>
        <w:rPr>
          <w:rFonts w:hint="eastAsia" w:ascii="Times New Roman" w:hAnsi="Times New Roman" w:eastAsia="宋体" w:cs="Times New Roman"/>
          <w:b/>
          <w:bCs/>
          <w:color w:val="auto"/>
          <w:spacing w:val="-1"/>
          <w:highlight w:val="none"/>
          <w:lang w:val="en-US" w:eastAsia="zh-CN"/>
        </w:rPr>
        <w:t>026</w:t>
      </w:r>
      <w:r>
        <w:rPr>
          <w:b/>
          <w:bCs/>
          <w:color w:val="auto"/>
          <w:spacing w:val="-1"/>
          <w:highlight w:val="none"/>
        </w:rPr>
        <w:t>年广东电力市场</w:t>
      </w:r>
    </w:p>
    <w:p w14:paraId="430A9404">
      <w:pPr>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ascii="Arial"/>
          <w:color w:val="auto"/>
          <w:sz w:val="21"/>
          <w:highlight w:val="none"/>
        </w:rPr>
      </w:pPr>
    </w:p>
    <w:p w14:paraId="7E77F7EC">
      <w:pPr>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ascii="Arial"/>
          <w:color w:val="auto"/>
          <w:sz w:val="21"/>
          <w:highlight w:val="none"/>
        </w:rPr>
      </w:pPr>
    </w:p>
    <w:p w14:paraId="1141F05C">
      <w:pPr>
        <w:pStyle w:val="3"/>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eastAsia="黑体"/>
          <w:color w:val="auto"/>
          <w:highlight w:val="none"/>
          <w:lang w:eastAsia="zh-CN"/>
        </w:rPr>
      </w:pPr>
      <w:r>
        <w:rPr>
          <w:b/>
          <w:bCs/>
          <w:color w:val="auto"/>
          <w:spacing w:val="-14"/>
          <w:highlight w:val="none"/>
        </w:rPr>
        <w:t>售电公司与电力用户零售交易合同</w:t>
      </w:r>
      <w:r>
        <w:rPr>
          <w:rFonts w:hint="eastAsia"/>
          <w:b/>
          <w:bCs/>
          <w:color w:val="auto"/>
          <w:spacing w:val="-14"/>
          <w:highlight w:val="none"/>
          <w:lang w:eastAsia="zh-CN"/>
        </w:rPr>
        <w:t>补充合同</w:t>
      </w:r>
    </w:p>
    <w:p w14:paraId="383017A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74AC67A5">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6ACCD1B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3007C3B2">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43B572FB">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2795660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1DF35354">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168D79BC">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61538648">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4AF1FBA4">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6925FBAF">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70088783">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5EA278C6">
      <w:pPr>
        <w:pStyle w:val="3"/>
        <w:keepNext w:val="0"/>
        <w:keepLines w:val="0"/>
        <w:pageBreakBefore w:val="0"/>
        <w:widowControl/>
        <w:kinsoku w:val="0"/>
        <w:wordWrap/>
        <w:overflowPunct/>
        <w:topLinePunct w:val="0"/>
        <w:bidi w:val="0"/>
        <w:adjustRightInd w:val="0"/>
        <w:snapToGrid w:val="0"/>
        <w:spacing w:line="360" w:lineRule="auto"/>
        <w:ind w:left="0" w:right="0"/>
        <w:textAlignment w:val="baseline"/>
        <w:rPr>
          <w:color w:val="auto"/>
          <w:sz w:val="28"/>
          <w:szCs w:val="28"/>
          <w:highlight w:val="none"/>
        </w:rPr>
      </w:pPr>
      <w:r>
        <w:rPr>
          <w:color w:val="auto"/>
          <w:spacing w:val="-5"/>
          <w:sz w:val="28"/>
          <w:szCs w:val="28"/>
          <w:highlight w:val="none"/>
          <w:u w:val="single" w:color="auto"/>
        </w:rPr>
        <w:t>甲方（电力用户</w:t>
      </w:r>
      <w:r>
        <w:rPr>
          <w:color w:val="auto"/>
          <w:sz w:val="28"/>
          <w:szCs w:val="28"/>
          <w:highlight w:val="none"/>
          <w:u w:val="single" w:color="auto"/>
        </w:rPr>
        <w:t>）：</w:t>
      </w:r>
      <w:r>
        <w:rPr>
          <w:rFonts w:hint="eastAsia"/>
          <w:color w:val="auto"/>
          <w:sz w:val="28"/>
          <w:szCs w:val="28"/>
          <w:highlight w:val="none"/>
          <w:u w:val="single" w:color="auto"/>
          <w:lang w:val="en-US" w:eastAsia="zh-CN"/>
        </w:rPr>
        <w:t>中山市公共交通运输集团有限公司</w:t>
      </w:r>
    </w:p>
    <w:p w14:paraId="3E8C57B0">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140C49AE">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09BC84D0">
      <w:pPr>
        <w:pStyle w:val="3"/>
        <w:keepNext w:val="0"/>
        <w:keepLines w:val="0"/>
        <w:pageBreakBefore w:val="0"/>
        <w:widowControl/>
        <w:kinsoku w:val="0"/>
        <w:wordWrap/>
        <w:overflowPunct/>
        <w:topLinePunct w:val="0"/>
        <w:bidi w:val="0"/>
        <w:adjustRightInd w:val="0"/>
        <w:snapToGrid w:val="0"/>
        <w:spacing w:line="360" w:lineRule="auto"/>
        <w:ind w:left="0" w:right="0"/>
        <w:textAlignment w:val="baseline"/>
        <w:rPr>
          <w:color w:val="auto"/>
          <w:sz w:val="28"/>
          <w:szCs w:val="28"/>
          <w:highlight w:val="none"/>
        </w:rPr>
      </w:pPr>
      <w:r>
        <w:rPr>
          <w:color w:val="auto"/>
          <w:spacing w:val="-5"/>
          <w:sz w:val="28"/>
          <w:szCs w:val="28"/>
          <w:highlight w:val="none"/>
          <w:u w:val="single" w:color="auto"/>
        </w:rPr>
        <w:t>乙方（售电公司</w:t>
      </w:r>
      <w:r>
        <w:rPr>
          <w:color w:val="auto"/>
          <w:sz w:val="28"/>
          <w:szCs w:val="28"/>
          <w:highlight w:val="none"/>
          <w:u w:val="single" w:color="auto"/>
        </w:rPr>
        <w:t>）：</w:t>
      </w:r>
    </w:p>
    <w:p w14:paraId="3464F6DE">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70FF15E8">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color w:val="auto"/>
          <w:sz w:val="21"/>
          <w:highlight w:val="none"/>
        </w:rPr>
      </w:pPr>
    </w:p>
    <w:p w14:paraId="67799747">
      <w:pPr>
        <w:pStyle w:val="3"/>
        <w:keepNext w:val="0"/>
        <w:keepLines w:val="0"/>
        <w:pageBreakBefore w:val="0"/>
        <w:widowControl/>
        <w:tabs>
          <w:tab w:val="left" w:pos="3957"/>
        </w:tabs>
        <w:kinsoku w:val="0"/>
        <w:wordWrap/>
        <w:overflowPunct/>
        <w:topLinePunct w:val="0"/>
        <w:bidi w:val="0"/>
        <w:adjustRightInd w:val="0"/>
        <w:snapToGrid w:val="0"/>
        <w:spacing w:line="360" w:lineRule="auto"/>
        <w:ind w:left="0" w:right="0"/>
        <w:jc w:val="center"/>
        <w:textAlignment w:val="baseline"/>
        <w:rPr>
          <w:rFonts w:hint="eastAsia" w:eastAsia="黑体"/>
          <w:color w:val="auto"/>
          <w:sz w:val="28"/>
          <w:szCs w:val="28"/>
          <w:highlight w:val="none"/>
          <w:lang w:val="en-US" w:eastAsia="zh-CN"/>
        </w:rPr>
      </w:pPr>
      <w:r>
        <w:rPr>
          <w:rFonts w:hint="eastAsia"/>
          <w:color w:val="auto"/>
          <w:sz w:val="28"/>
          <w:szCs w:val="28"/>
          <w:highlight w:val="none"/>
          <w:u w:val="single" w:color="auto"/>
          <w:lang w:val="en-US" w:eastAsia="zh-CN"/>
        </w:rPr>
        <w:t>2025</w:t>
      </w:r>
      <w:r>
        <w:rPr>
          <w:color w:val="auto"/>
          <w:spacing w:val="-6"/>
          <w:sz w:val="28"/>
          <w:szCs w:val="28"/>
          <w:highlight w:val="none"/>
        </w:rPr>
        <w:t>年</w:t>
      </w:r>
      <w:r>
        <w:rPr>
          <w:rFonts w:hint="eastAsia"/>
          <w:color w:val="auto"/>
          <w:spacing w:val="23"/>
          <w:sz w:val="28"/>
          <w:szCs w:val="28"/>
          <w:highlight w:val="none"/>
          <w:u w:val="single" w:color="auto"/>
          <w:lang w:val="en-US" w:eastAsia="zh-CN"/>
        </w:rPr>
        <w:t>12</w:t>
      </w:r>
      <w:r>
        <w:rPr>
          <w:color w:val="auto"/>
          <w:spacing w:val="-122"/>
          <w:sz w:val="28"/>
          <w:szCs w:val="28"/>
          <w:highlight w:val="none"/>
        </w:rPr>
        <w:t xml:space="preserve"> </w:t>
      </w:r>
      <w:r>
        <w:rPr>
          <w:color w:val="auto"/>
          <w:spacing w:val="-6"/>
          <w:sz w:val="28"/>
          <w:szCs w:val="28"/>
          <w:highlight w:val="none"/>
        </w:rPr>
        <w:t>月</w:t>
      </w:r>
      <w:r>
        <w:rPr>
          <w:rFonts w:hint="default"/>
          <w:color w:val="auto"/>
          <w:spacing w:val="-6"/>
          <w:sz w:val="28"/>
          <w:szCs w:val="28"/>
          <w:highlight w:val="none"/>
          <w:lang w:val="en-US"/>
        </w:rPr>
        <w:t>____</w:t>
      </w:r>
      <w:r>
        <w:rPr>
          <w:rFonts w:hint="eastAsia"/>
          <w:color w:val="auto"/>
          <w:spacing w:val="-6"/>
          <w:sz w:val="28"/>
          <w:szCs w:val="28"/>
          <w:highlight w:val="none"/>
          <w:lang w:val="en-US" w:eastAsia="zh-CN"/>
        </w:rPr>
        <w:t>日</w:t>
      </w:r>
    </w:p>
    <w:p w14:paraId="7BB8FCBB">
      <w:pPr>
        <w:keepNext w:val="0"/>
        <w:keepLines w:val="0"/>
        <w:pageBreakBefore w:val="0"/>
        <w:widowControl/>
        <w:kinsoku w:val="0"/>
        <w:wordWrap/>
        <w:overflowPunct/>
        <w:topLinePunct w:val="0"/>
        <w:bidi w:val="0"/>
        <w:adjustRightInd w:val="0"/>
        <w:snapToGrid w:val="0"/>
        <w:spacing w:line="360" w:lineRule="auto"/>
        <w:ind w:left="0" w:right="0"/>
        <w:textAlignment w:val="baseline"/>
        <w:rPr>
          <w:color w:val="auto"/>
          <w:sz w:val="28"/>
          <w:szCs w:val="28"/>
          <w:highlight w:val="none"/>
        </w:rPr>
        <w:sectPr>
          <w:footerReference r:id="rId5" w:type="default"/>
          <w:pgSz w:w="11906" w:h="16839"/>
          <w:pgMar w:top="1431" w:right="1785" w:bottom="1180" w:left="1785" w:header="0" w:footer="966" w:gutter="0"/>
          <w:pgNumType w:fmt="decimal"/>
          <w:cols w:space="720" w:num="1"/>
        </w:sectPr>
      </w:pPr>
    </w:p>
    <w:tbl>
      <w:tblPr>
        <w:tblStyle w:val="8"/>
        <w:tblW w:w="9456"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7738"/>
      </w:tblGrid>
      <w:tr w14:paraId="5C14CB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jc w:val="center"/>
        </w:trPr>
        <w:tc>
          <w:tcPr>
            <w:tcW w:w="9456" w:type="dxa"/>
            <w:gridSpan w:val="2"/>
            <w:vAlign w:val="top"/>
          </w:tcPr>
          <w:p w14:paraId="793D4D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color w:val="auto"/>
                <w:sz w:val="24"/>
                <w:szCs w:val="24"/>
                <w:highlight w:val="none"/>
              </w:rPr>
            </w:pPr>
            <w:r>
              <w:rPr>
                <w:b/>
                <w:bCs/>
                <w:color w:val="auto"/>
                <w:spacing w:val="-4"/>
                <w:sz w:val="24"/>
                <w:szCs w:val="24"/>
                <w:highlight w:val="none"/>
              </w:rPr>
              <w:t>双方签署信息</w:t>
            </w:r>
          </w:p>
        </w:tc>
      </w:tr>
      <w:tr w14:paraId="7CC00C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82" w:hRule="atLeast"/>
          <w:jc w:val="center"/>
        </w:trPr>
        <w:tc>
          <w:tcPr>
            <w:tcW w:w="1718" w:type="dxa"/>
            <w:tcBorders>
              <w:right w:val="single" w:color="000000" w:sz="6" w:space="0"/>
            </w:tcBorders>
            <w:vAlign w:val="top"/>
          </w:tcPr>
          <w:p w14:paraId="057F43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color w:val="auto"/>
                <w:highlight w:val="none"/>
              </w:rPr>
            </w:pPr>
            <w:r>
              <w:rPr>
                <w:color w:val="auto"/>
                <w:spacing w:val="-1"/>
                <w:highlight w:val="none"/>
              </w:rPr>
              <w:t>购电方</w:t>
            </w:r>
            <w:r>
              <w:rPr>
                <w:color w:val="auto"/>
                <w:spacing w:val="-4"/>
                <w:highlight w:val="none"/>
              </w:rPr>
              <w:t>（电力</w:t>
            </w:r>
            <w:r>
              <w:rPr>
                <w:color w:val="auto"/>
                <w:spacing w:val="-2"/>
                <w:highlight w:val="none"/>
              </w:rPr>
              <w:t>用户，简称甲</w:t>
            </w:r>
            <w:r>
              <w:rPr>
                <w:color w:val="auto"/>
                <w:spacing w:val="43"/>
                <w:highlight w:val="none"/>
              </w:rPr>
              <w:t>方）</w:t>
            </w:r>
          </w:p>
        </w:tc>
        <w:tc>
          <w:tcPr>
            <w:tcW w:w="7738" w:type="dxa"/>
            <w:tcBorders>
              <w:left w:val="single" w:color="000000" w:sz="6" w:space="0"/>
            </w:tcBorders>
            <w:vAlign w:val="top"/>
          </w:tcPr>
          <w:p w14:paraId="0D0A5A2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电力用户编码：TC315</w:t>
            </w:r>
          </w:p>
          <w:p w14:paraId="0F5C6B79">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企业名称：中山市公共交通运输集团有限公司</w:t>
            </w:r>
          </w:p>
          <w:p w14:paraId="769A88B0">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统一信用代码：914420001980721644</w:t>
            </w:r>
          </w:p>
          <w:p w14:paraId="7CBFDC2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所在地址：</w:t>
            </w:r>
            <w:r>
              <w:rPr>
                <w:rFonts w:hint="eastAsia"/>
              </w:rPr>
              <w:t>中山市南区城南三路38号</w:t>
            </w:r>
          </w:p>
          <w:p w14:paraId="662FC7B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lang w:eastAsia="zh-CN"/>
              </w:rPr>
            </w:pPr>
            <w:r>
              <w:t>法定代表人：</w:t>
            </w:r>
            <w:r>
              <w:rPr>
                <w:rFonts w:hint="eastAsia"/>
                <w:lang w:eastAsia="zh-CN"/>
              </w:rPr>
              <w:t>黎联光</w:t>
            </w:r>
          </w:p>
          <w:p w14:paraId="1EAD18FE">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法定代表人有效证件号码：</w:t>
            </w:r>
            <w:r>
              <w:rPr>
                <w:rFonts w:hint="eastAsia"/>
              </w:rPr>
              <w:t>442000198111203290</w:t>
            </w:r>
          </w:p>
          <w:p w14:paraId="416BE61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pPr>
            <w:r>
              <w:t>甲方联系人：梁秋</w:t>
            </w:r>
          </w:p>
          <w:p w14:paraId="0540BB44">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t>联系电话：13822773460</w:t>
            </w:r>
          </w:p>
        </w:tc>
      </w:tr>
      <w:tr w14:paraId="3EE66F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12" w:hRule="atLeast"/>
          <w:jc w:val="center"/>
        </w:trPr>
        <w:tc>
          <w:tcPr>
            <w:tcW w:w="1718" w:type="dxa"/>
            <w:tcBorders>
              <w:right w:val="single" w:color="000000" w:sz="6" w:space="0"/>
            </w:tcBorders>
            <w:vAlign w:val="top"/>
          </w:tcPr>
          <w:p w14:paraId="582C11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Times New Roman" w:hAnsi="Times New Roman" w:eastAsia="Times New Roman" w:cs="Times New Roman"/>
                <w:color w:val="auto"/>
                <w:highlight w:val="none"/>
              </w:rPr>
            </w:pPr>
            <w:r>
              <w:rPr>
                <w:color w:val="auto"/>
                <w:spacing w:val="-1"/>
                <w:highlight w:val="none"/>
              </w:rPr>
              <w:t>售电方</w:t>
            </w:r>
            <w:r>
              <w:rPr>
                <w:color w:val="auto"/>
                <w:spacing w:val="-4"/>
                <w:highlight w:val="none"/>
              </w:rPr>
              <w:t>（售电</w:t>
            </w:r>
            <w:r>
              <w:rPr>
                <w:color w:val="auto"/>
                <w:spacing w:val="-3"/>
                <w:highlight w:val="none"/>
              </w:rPr>
              <w:t>公司，简称乙</w:t>
            </w:r>
            <w:r>
              <w:rPr>
                <w:color w:val="auto"/>
                <w:spacing w:val="42"/>
                <w:highlight w:val="none"/>
              </w:rPr>
              <w:t>方）</w:t>
            </w:r>
          </w:p>
        </w:tc>
        <w:tc>
          <w:tcPr>
            <w:tcW w:w="7738" w:type="dxa"/>
            <w:tcBorders>
              <w:left w:val="single" w:color="000000" w:sz="6" w:space="0"/>
            </w:tcBorders>
            <w:vAlign w:val="top"/>
          </w:tcPr>
          <w:p w14:paraId="67161373">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售电公司编号：</w:t>
            </w:r>
          </w:p>
          <w:p w14:paraId="2EF217DB">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企业名称：</w:t>
            </w:r>
          </w:p>
          <w:p w14:paraId="30FD6897">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统一信用代码：</w:t>
            </w:r>
          </w:p>
          <w:p w14:paraId="1661E86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所在地址：</w:t>
            </w:r>
          </w:p>
          <w:p w14:paraId="61CD827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法定代表人：</w:t>
            </w:r>
          </w:p>
          <w:p w14:paraId="40839AB6">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法定代表人有效证件号码：</w:t>
            </w:r>
          </w:p>
          <w:p w14:paraId="26C13B2C">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rPr>
            </w:pPr>
            <w:r>
              <w:rPr>
                <w:rFonts w:hint="eastAsia"/>
              </w:rPr>
              <w:t>乙方联系人：</w:t>
            </w:r>
          </w:p>
          <w:p w14:paraId="4178995F">
            <w:pPr>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color w:val="auto"/>
                <w:highlight w:val="none"/>
              </w:rPr>
            </w:pPr>
            <w:r>
              <w:rPr>
                <w:rFonts w:hint="eastAsia"/>
              </w:rPr>
              <w:t>联系电话：</w:t>
            </w:r>
          </w:p>
        </w:tc>
      </w:tr>
    </w:tbl>
    <w:p w14:paraId="4ECB5EA6">
      <w:pPr>
        <w:bidi w:val="0"/>
        <w:rPr>
          <w:rFonts w:hint="eastAsia"/>
          <w:lang w:eastAsia="zh-CN"/>
        </w:rPr>
      </w:pPr>
      <w:r>
        <w:rPr>
          <w:rFonts w:hint="eastAsia"/>
        </w:rPr>
        <w:t>双方</w:t>
      </w:r>
      <w:r>
        <w:rPr>
          <w:rFonts w:hint="eastAsia"/>
          <w:lang w:eastAsia="zh-CN"/>
        </w:rPr>
        <w:t>于</w:t>
      </w:r>
      <w:r>
        <w:rPr>
          <w:rFonts w:hint="eastAsia"/>
          <w:lang w:val="en-US" w:eastAsia="zh-CN"/>
        </w:rPr>
        <w:t>2024年12月12日</w:t>
      </w:r>
      <w:r>
        <w:rPr>
          <w:rFonts w:hint="eastAsia"/>
        </w:rPr>
        <w:t>按广东电力交易中心系统的范本合同签订</w:t>
      </w:r>
      <w:r>
        <w:rPr>
          <w:rFonts w:hint="eastAsia"/>
          <w:lang w:eastAsia="zh-CN"/>
        </w:rPr>
        <w:t>线上</w:t>
      </w:r>
      <w:r>
        <w:rPr>
          <w:rFonts w:hint="eastAsia"/>
        </w:rPr>
        <w:t>合同</w:t>
      </w:r>
      <w:r>
        <w:rPr>
          <w:rFonts w:hint="eastAsia"/>
          <w:lang w:eastAsia="zh-CN"/>
        </w:rPr>
        <w:t>《2026年广东电力市场售电公司与电力用户零售交易合同》（广东电力交易中心合同编号：</w:t>
      </w:r>
      <w:r>
        <w:rPr>
          <w:rFonts w:hint="eastAsia"/>
          <w:lang w:val="en-US" w:eastAsia="zh-CN"/>
        </w:rPr>
        <w:t>_______________</w:t>
      </w:r>
      <w:r>
        <w:rPr>
          <w:rFonts w:hint="eastAsia"/>
          <w:lang w:eastAsia="zh-CN"/>
        </w:rPr>
        <w:t>）（</w:t>
      </w:r>
      <w:r>
        <w:rPr>
          <w:rFonts w:hint="eastAsia"/>
          <w:lang w:val="en-US" w:eastAsia="zh-CN"/>
        </w:rPr>
        <w:t>以下简称“原合同”）</w:t>
      </w:r>
      <w:r>
        <w:rPr>
          <w:rFonts w:hint="eastAsia"/>
        </w:rPr>
        <w:t>，</w:t>
      </w:r>
      <w:r>
        <w:rPr>
          <w:rFonts w:hint="eastAsia"/>
          <w:lang w:val="en-US" w:eastAsia="zh-CN"/>
        </w:rPr>
        <w:t>经过双方协商一致，就原合同有关条款进行修订和补充，</w:t>
      </w:r>
      <w:r>
        <w:rPr>
          <w:rFonts w:hint="eastAsia"/>
          <w:lang w:eastAsia="zh-CN"/>
        </w:rPr>
        <w:t>签订</w:t>
      </w:r>
      <w:r>
        <w:rPr>
          <w:rFonts w:hint="eastAsia"/>
          <w:lang w:val="en-US" w:eastAsia="zh-CN"/>
        </w:rPr>
        <w:t>本</w:t>
      </w:r>
      <w:r>
        <w:rPr>
          <w:rFonts w:hint="eastAsia"/>
          <w:lang w:eastAsia="zh-CN"/>
        </w:rPr>
        <w:t>补充合同，</w:t>
      </w:r>
      <w:r>
        <w:rPr>
          <w:rFonts w:hint="eastAsia"/>
          <w:lang w:val="en-US" w:eastAsia="zh-CN"/>
        </w:rPr>
        <w:t>以资双方共同遵守。</w:t>
      </w:r>
    </w:p>
    <w:p w14:paraId="0E87189D">
      <w:pPr>
        <w:bidi w:val="0"/>
        <w:rPr>
          <w:rFonts w:hint="eastAsia"/>
          <w:lang w:eastAsia="zh-CN"/>
        </w:rPr>
      </w:pPr>
      <w:r>
        <w:rPr>
          <w:rFonts w:hint="eastAsia"/>
          <w:lang w:val="en-US" w:eastAsia="zh-CN"/>
        </w:rPr>
        <w:t>一、原合同</w:t>
      </w:r>
      <w:r>
        <w:rPr>
          <w:rFonts w:hint="eastAsia"/>
          <w:lang w:eastAsia="zh-CN"/>
        </w:rPr>
        <w:t>违约赔偿条款</w:t>
      </w:r>
    </w:p>
    <w:p w14:paraId="4DEEF8EF">
      <w:pPr>
        <w:bidi w:val="0"/>
        <w:rPr>
          <w:rFonts w:hint="eastAsia"/>
          <w:lang w:val="en-US" w:eastAsia="zh-CN"/>
        </w:rPr>
      </w:pPr>
      <w:r>
        <w:rPr>
          <w:rFonts w:hint="eastAsia"/>
          <w:lang w:val="en-US" w:eastAsia="zh-CN"/>
        </w:rPr>
        <w:t>当任何一方违反原合同约定出现违约行为，违约方应向守约方支付违约造成的经济损失，违约金的计算标准为： 违约金额=违约电量×0.372元/千瓦时×20%，违约电量=|甲方2025年在广东省电力交易中心交易的实际用电量-2026年已履约电量|。</w:t>
      </w:r>
    </w:p>
    <w:p w14:paraId="4D36DFF9">
      <w:pPr>
        <w:bidi w:val="0"/>
        <w:rPr>
          <w:rFonts w:hint="eastAsia"/>
          <w:lang w:val="en-US" w:eastAsia="zh-CN"/>
        </w:rPr>
      </w:pPr>
      <w:r>
        <w:rPr>
          <w:rFonts w:hint="eastAsia"/>
          <w:lang w:val="en-US" w:eastAsia="zh-CN"/>
        </w:rPr>
        <w:t>二、乙方为甲方提供以下增值服务：</w:t>
      </w:r>
    </w:p>
    <w:p w14:paraId="4F43B20C">
      <w:pPr>
        <w:keepNext w:val="0"/>
        <w:keepLines w:val="0"/>
        <w:pageBreakBefore w:val="0"/>
        <w:widowControl/>
        <w:numPr>
          <w:ilvl w:val="0"/>
          <w:numId w:val="1"/>
        </w:numPr>
        <w:kinsoku w:val="0"/>
        <w:wordWrap/>
        <w:overflowPunct/>
        <w:topLinePunct w:val="0"/>
        <w:autoSpaceDE w:val="0"/>
        <w:autoSpaceDN w:val="0"/>
        <w:bidi w:val="0"/>
        <w:adjustRightInd w:val="0"/>
        <w:snapToGrid w:val="0"/>
        <w:ind w:left="0" w:leftChars="0" w:firstLine="480" w:firstLineChars="200"/>
        <w:textAlignment w:val="baseline"/>
        <w:rPr>
          <w:rFonts w:hint="eastAsia"/>
          <w:lang w:val="en-US" w:eastAsia="zh-CN"/>
        </w:rPr>
      </w:pPr>
      <w:r>
        <w:rPr>
          <w:rFonts w:hint="eastAsia"/>
          <w:lang w:val="en-US" w:eastAsia="zh-CN"/>
        </w:rPr>
        <w:t>基础服务</w:t>
      </w:r>
    </w:p>
    <w:p w14:paraId="63298A83">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为甲方32台变压器提供专业化巡检，提供年度检测报告、安全评估清单及可行性整改方案，为甲方深中跨市公交博览中心枢纽站屋顶47.415kW光伏（无楼梯）2026年度提供清洗服务不少于3次。乙方如违约本项目，向甲方支付违约金10万元。</w:t>
      </w:r>
    </w:p>
    <w:p w14:paraId="467FE113">
      <w:pPr>
        <w:keepNext w:val="0"/>
        <w:keepLines w:val="0"/>
        <w:pageBreakBefore w:val="0"/>
        <w:widowControl/>
        <w:numPr>
          <w:ilvl w:val="0"/>
          <w:numId w:val="1"/>
        </w:numPr>
        <w:kinsoku w:val="0"/>
        <w:wordWrap/>
        <w:overflowPunct/>
        <w:topLinePunct w:val="0"/>
        <w:autoSpaceDE w:val="0"/>
        <w:autoSpaceDN w:val="0"/>
        <w:bidi w:val="0"/>
        <w:adjustRightInd w:val="0"/>
        <w:snapToGrid w:val="0"/>
        <w:ind w:left="0" w:leftChars="0" w:firstLine="480" w:firstLineChars="200"/>
        <w:textAlignment w:val="baseline"/>
        <w:rPr>
          <w:rFonts w:hint="eastAsia"/>
          <w:lang w:val="en-US" w:eastAsia="zh-CN"/>
        </w:rPr>
      </w:pPr>
      <w:r>
        <w:rPr>
          <w:rFonts w:hint="eastAsia"/>
          <w:lang w:val="en-US" w:eastAsia="zh-CN"/>
        </w:rPr>
        <w:t>光伏项目</w:t>
      </w:r>
    </w:p>
    <w:p w14:paraId="63B5A39C">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光伏项目建成后，资产移交需求方，日常运营管理及全部运营收益由需求方负责和享有。</w:t>
      </w:r>
    </w:p>
    <w:p w14:paraId="49B4E08C">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(1)项目明细</w:t>
      </w:r>
    </w:p>
    <w:p w14:paraId="0CA8A3D7">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城南公交场站：工程额定容量117.00kW</w:t>
      </w:r>
    </w:p>
    <w:p w14:paraId="19AF9A38">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坦洲公交场站：可研容量283.22kW</w:t>
      </w:r>
    </w:p>
    <w:p w14:paraId="37924292">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(2)技术规范要求</w:t>
      </w:r>
    </w:p>
    <w:p w14:paraId="5FCC97F4">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并网模式：自发自用，余电上网</w:t>
      </w:r>
    </w:p>
    <w:p w14:paraId="45D4A4DF">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光伏组件：采用650W组件，功率偏差0~+3W，转换效率≥24.1%，首年衰减≤1%，后续年衰减≤0.35%，防护等级IP68，工作温度-40℃至+85℃，通过IEC61215、IEC61730国际认证，质保期≥12年</w:t>
      </w:r>
    </w:p>
    <w:p w14:paraId="1F8B91AD">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逆变器：转换效率≥98%，防护等级IP66，最大输入电压≥1000VDC，启动电压≤200VDC，MPPT电压范围150-1000VDC，过载能力：110%过载1小时、150%过载10秒，质保期≥5年</w:t>
      </w:r>
    </w:p>
    <w:p w14:paraId="27211532">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整体性能：光伏电站高压并网整体效率≥80.6%</w:t>
      </w:r>
    </w:p>
    <w:p w14:paraId="2DDF31FC">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项目质保：整体质保期2年，质保期内每年提供不少于3次清洗服务</w:t>
      </w:r>
    </w:p>
    <w:p w14:paraId="73123014">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(3)工期与违约责任</w:t>
      </w:r>
    </w:p>
    <w:p w14:paraId="061FE5F3">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工期要求：本合同签订之日起60个日历天内完成</w:t>
      </w:r>
    </w:p>
    <w:p w14:paraId="0F2B1F54">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逾期处理：自逾期限起，乙方按1000元/天·项目向甲方支付逾期款项</w:t>
      </w:r>
      <w:bookmarkStart w:id="0" w:name="_GoBack"/>
      <w:bookmarkEnd w:id="0"/>
      <w:r>
        <w:rPr>
          <w:rFonts w:hint="eastAsia"/>
          <w:lang w:val="en-US" w:eastAsia="zh-CN"/>
        </w:rPr>
        <w:t>。如逾期超过30天，甲方有权取消本光伏项目，乙方向甲方支付违约金35万元（城南）、85万元（坦洲）</w:t>
      </w:r>
    </w:p>
    <w:p w14:paraId="447A7D07">
      <w:pPr>
        <w:keepNext w:val="0"/>
        <w:keepLines w:val="0"/>
        <w:pageBreakBefore w:val="0"/>
        <w:widowControl/>
        <w:numPr>
          <w:ilvl w:val="0"/>
          <w:numId w:val="1"/>
        </w:numPr>
        <w:kinsoku w:val="0"/>
        <w:wordWrap/>
        <w:overflowPunct/>
        <w:topLinePunct w:val="0"/>
        <w:autoSpaceDE w:val="0"/>
        <w:autoSpaceDN w:val="0"/>
        <w:bidi w:val="0"/>
        <w:adjustRightInd w:val="0"/>
        <w:snapToGrid w:val="0"/>
        <w:ind w:left="0" w:leftChars="0" w:firstLine="480" w:firstLineChars="200"/>
        <w:textAlignment w:val="baseline"/>
        <w:rPr>
          <w:rFonts w:hint="eastAsia"/>
          <w:lang w:val="en-US" w:eastAsia="zh-CN"/>
        </w:rPr>
      </w:pPr>
      <w:r>
        <w:rPr>
          <w:rFonts w:hint="eastAsia"/>
          <w:lang w:val="en-US" w:eastAsia="zh-CN"/>
        </w:rPr>
        <w:t>充电站项目</w:t>
      </w:r>
    </w:p>
    <w:p w14:paraId="10687208">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充电站项目建成后，资产移交需求方，日常运营管理及全部运营收益由需求方负责和享有。</w:t>
      </w:r>
    </w:p>
    <w:p w14:paraId="7E0060AD">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(1)项目明细</w:t>
      </w:r>
    </w:p>
    <w:p w14:paraId="2817BBDC">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①广丰公交枢纽站：需配置800kVA欧式箱变1台、一体式双枪200kW直流充电桩3台、钢结构雨棚尺寸长20米*宽6米*高4.6米。</w:t>
      </w:r>
    </w:p>
    <w:p w14:paraId="3B2647B4">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②开发区会展中心公交枢纽站：需配置630kVA箱变1台，以及640kW柔性充电系统1套、配备10个直流充电终端，无雨棚。</w:t>
      </w:r>
    </w:p>
    <w:p w14:paraId="0936B6D4">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③海湾城公交枢纽站：现有630kVA变压器1台，需配置一体式双枪200kW直流充电桩3台、钢结构雨棚尺寸长15*宽10.5*高4.6米。</w:t>
      </w:r>
    </w:p>
    <w:p w14:paraId="28271667">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④沙溪佳兆业公交枢纽站：需配置630kVA箱变1台，以及640kW柔性充电系统1套、配备8个直流充电终端，无雨棚。</w:t>
      </w:r>
    </w:p>
    <w:p w14:paraId="06CD252C">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⑤濠东公交站场社会车辆充电站：需配置800kVA欧式箱变2台，以及800kW柔性充电系统2套，每套系统配备10个直流充电终端，其中包括1个液冷超充终端，无雨棚。</w:t>
      </w:r>
    </w:p>
    <w:p w14:paraId="6282698F">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(2)技术规范要求</w:t>
      </w:r>
    </w:p>
    <w:p w14:paraId="122DFF72">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变压器箱体全不锈钢材质。</w:t>
      </w:r>
    </w:p>
    <w:p w14:paraId="165A397D">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充电终端需带触控操作屏幕。</w:t>
      </w:r>
    </w:p>
    <w:p w14:paraId="4970CE7F">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项目质量保修期 4 年，其中充电设备整机质保期4年。</w:t>
      </w:r>
    </w:p>
    <w:p w14:paraId="441512CF">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(3)工期与违约责任</w:t>
      </w:r>
    </w:p>
    <w:p w14:paraId="0E2DD296">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工期要求：本合同签订之日起210个日历天内完成</w:t>
      </w:r>
    </w:p>
    <w:p w14:paraId="743C7C3E">
      <w:pPr>
        <w:keepNext w:val="0"/>
        <w:keepLines w:val="0"/>
        <w:pageBreakBefore w:val="0"/>
        <w:widowControl/>
        <w:kinsoku w:val="0"/>
        <w:wordWrap/>
        <w:overflowPunct/>
        <w:topLinePunct w:val="0"/>
        <w:autoSpaceDE w:val="0"/>
        <w:autoSpaceDN w:val="0"/>
        <w:bidi w:val="0"/>
        <w:adjustRightInd w:val="0"/>
        <w:snapToGrid w:val="0"/>
        <w:ind w:left="0" w:firstLine="480" w:firstLineChars="200"/>
        <w:textAlignment w:val="baseline"/>
        <w:rPr>
          <w:rFonts w:hint="eastAsia"/>
          <w:lang w:val="en-US" w:eastAsia="zh-CN"/>
        </w:rPr>
      </w:pPr>
      <w:r>
        <w:rPr>
          <w:rFonts w:hint="eastAsia"/>
          <w:lang w:val="en-US" w:eastAsia="zh-CN"/>
        </w:rPr>
        <w:t>逾期处理：自逾期限起，乙方按1000元/天·项目向甲方支付逾期款项。如逾期超过30天，甲方有权取消本充电站项目，乙方向甲方支付违约金90万元（广丰公交枢纽站）、55万元（开发区会展中心公交枢纽站）、50万元（海湾城公交枢纽站）、55万元（沙溪佳兆业公交枢纽站）、150万元（濠东公交站场社会充电站）。</w:t>
      </w:r>
    </w:p>
    <w:p w14:paraId="1765AD47">
      <w:pPr>
        <w:keepNext w:val="0"/>
        <w:keepLines w:val="0"/>
        <w:pageBreakBefore w:val="0"/>
        <w:widowControl/>
        <w:numPr>
          <w:ilvl w:val="0"/>
          <w:numId w:val="1"/>
        </w:numPr>
        <w:kinsoku w:val="0"/>
        <w:wordWrap/>
        <w:overflowPunct/>
        <w:topLinePunct w:val="0"/>
        <w:autoSpaceDE w:val="0"/>
        <w:autoSpaceDN w:val="0"/>
        <w:bidi w:val="0"/>
        <w:adjustRightInd w:val="0"/>
        <w:snapToGrid w:val="0"/>
        <w:ind w:left="0" w:leftChars="0" w:firstLine="480" w:firstLineChars="200"/>
        <w:textAlignment w:val="baseline"/>
        <w:rPr>
          <w:rFonts w:hint="default"/>
          <w:lang w:val="en-US" w:eastAsia="zh-CN"/>
        </w:rPr>
      </w:pPr>
      <w:r>
        <w:rPr>
          <w:rFonts w:hint="default"/>
          <w:lang w:val="en-US" w:eastAsia="zh-CN"/>
        </w:rPr>
        <w:t>绿色能源发展支持</w:t>
      </w:r>
    </w:p>
    <w:p w14:paraId="7ABDA5C3">
      <w:pPr>
        <w:bidi w:val="0"/>
        <w:rPr>
          <w:rFonts w:hint="default"/>
          <w:lang w:val="en-US" w:eastAsia="zh-CN"/>
        </w:rPr>
      </w:pPr>
      <w:r>
        <w:rPr>
          <w:rFonts w:hint="default"/>
          <w:lang w:val="en-US" w:eastAsia="zh-CN"/>
        </w:rPr>
        <w:t>乙方承担甲方充电站储能技术服务费用额度_____（大写________）</w:t>
      </w:r>
      <w:r>
        <w:rPr>
          <w:rFonts w:hint="eastAsia"/>
          <w:lang w:val="en-US" w:eastAsia="zh-CN"/>
        </w:rPr>
        <w:t>。甲方、甲方供应商、乙方另外签订三方协议，乙方代付相应额度，甲方供应商开具收据给乙方。</w:t>
      </w:r>
    </w:p>
    <w:p w14:paraId="4B12BB57">
      <w:pPr>
        <w:bidi w:val="0"/>
        <w:rPr>
          <w:rFonts w:hint="default"/>
          <w:lang w:eastAsia="zh-CN"/>
        </w:rPr>
      </w:pPr>
      <w:r>
        <w:rPr>
          <w:rFonts w:hint="eastAsia"/>
          <w:lang w:eastAsia="zh-CN"/>
        </w:rPr>
        <w:t>三、</w:t>
      </w:r>
      <w:r>
        <w:rPr>
          <w:rFonts w:hint="eastAsia"/>
        </w:rPr>
        <w:t>廉洁条款</w:t>
      </w:r>
    </w:p>
    <w:p w14:paraId="55FDA239">
      <w:pPr>
        <w:bidi w:val="0"/>
        <w:rPr>
          <w:rFonts w:hint="eastAsia"/>
        </w:rPr>
      </w:pPr>
      <w:r>
        <w:rPr>
          <w:rFonts w:hint="eastAsia"/>
        </w:rPr>
        <w:t>双方应当自觉遵守国家、地方法律法规以及本合同的约定，在合同的订立、履行过程中廉洁自律。</w:t>
      </w:r>
    </w:p>
    <w:p w14:paraId="4E3B48EB">
      <w:pPr>
        <w:bidi w:val="0"/>
        <w:rPr>
          <w:rFonts w:hint="eastAsia"/>
        </w:rPr>
      </w:pPr>
      <w:r>
        <w:rPr>
          <w:rFonts w:hint="eastAsia"/>
        </w:rPr>
        <w:t>甲方及其工作人员均不得以任何形式向乙方索要和收受回扣等好处费。</w:t>
      </w:r>
    </w:p>
    <w:p w14:paraId="52F50915">
      <w:pPr>
        <w:bidi w:val="0"/>
        <w:rPr>
          <w:rFonts w:hint="eastAsia"/>
        </w:rPr>
      </w:pPr>
      <w:r>
        <w:rPr>
          <w:rFonts w:hint="eastAsia"/>
        </w:rPr>
        <w:t>甲方工作人员应当保持与乙方的正常业务交往，不得接受乙方的礼金、有价证券和贵重物品，不得在乙方报销任何应由其个人承担的费用。</w:t>
      </w:r>
    </w:p>
    <w:p w14:paraId="2AF44A29">
      <w:pPr>
        <w:bidi w:val="0"/>
        <w:rPr>
          <w:rFonts w:hint="eastAsia"/>
        </w:rPr>
      </w:pPr>
      <w:r>
        <w:rPr>
          <w:rFonts w:hint="eastAsia"/>
        </w:rPr>
        <w:t>甲方工作人员不得参加可能对公正开展业务有影响的宴请和娱乐活动。</w:t>
      </w:r>
    </w:p>
    <w:p w14:paraId="7B7CE3F5">
      <w:pPr>
        <w:bidi w:val="0"/>
        <w:rPr>
          <w:rFonts w:hint="eastAsia"/>
        </w:rPr>
      </w:pPr>
      <w:r>
        <w:rPr>
          <w:rFonts w:hint="eastAsia"/>
        </w:rPr>
        <w:t>甲方工作人员不得要求或者接受乙方为其住房装修、婚丧嫁娶、家属和子女的工作安排以及出国等提供方便。</w:t>
      </w:r>
    </w:p>
    <w:p w14:paraId="5ABA672E">
      <w:pPr>
        <w:bidi w:val="0"/>
        <w:rPr>
          <w:rFonts w:hint="eastAsia"/>
        </w:rPr>
      </w:pPr>
      <w:r>
        <w:rPr>
          <w:rFonts w:hint="eastAsia"/>
        </w:rPr>
        <w:t>乙方不得接受甲方工作人员介绍的家属或者亲友从事与合同相关的业务。</w:t>
      </w:r>
    </w:p>
    <w:p w14:paraId="3D74D6EC">
      <w:pPr>
        <w:bidi w:val="0"/>
        <w:rPr>
          <w:rFonts w:hint="eastAsia"/>
        </w:rPr>
      </w:pPr>
      <w:r>
        <w:rPr>
          <w:rFonts w:hint="eastAsia"/>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BF5D876">
      <w:pPr>
        <w:bidi w:val="0"/>
        <w:rPr>
          <w:rFonts w:hint="eastAsia"/>
        </w:rPr>
      </w:pPr>
      <w:r>
        <w:rPr>
          <w:rFonts w:hint="eastAsia"/>
        </w:rPr>
        <w:t>乙方如发现甲方工作人员有违反上述廉洁条款者，应向甲方举报。甲方不得找任何借口对乙方进行报复。</w:t>
      </w:r>
    </w:p>
    <w:p w14:paraId="075FF4E0">
      <w:pPr>
        <w:bidi w:val="0"/>
        <w:rPr>
          <w:rFonts w:hint="eastAsia"/>
        </w:rPr>
      </w:pPr>
      <w:r>
        <w:rPr>
          <w:rFonts w:hint="eastAsia"/>
        </w:rPr>
        <w:t>甲方发现乙方有违反本合同或者采用不正当的手段行贿甲方工作人员等不正当竞争行为的，甲方有权解除本合同并追究乙方相关的法律责任。</w:t>
      </w:r>
    </w:p>
    <w:p w14:paraId="00AFF43F">
      <w:pPr>
        <w:bidi w:val="0"/>
        <w:rPr>
          <w:rFonts w:hint="eastAsia"/>
          <w:lang w:val="en-US" w:eastAsia="zh-CN"/>
        </w:rPr>
      </w:pPr>
      <w:r>
        <w:rPr>
          <w:rFonts w:hint="eastAsia"/>
          <w:lang w:val="en-US" w:eastAsia="zh-CN"/>
        </w:rPr>
        <w:t>四.违约责任</w:t>
      </w:r>
    </w:p>
    <w:p w14:paraId="4DE2FD41">
      <w:pPr>
        <w:bidi w:val="0"/>
        <w:rPr>
          <w:rFonts w:hint="eastAsia"/>
          <w:lang w:val="en-US" w:eastAsia="zh-CN"/>
        </w:rPr>
      </w:pPr>
      <w:r>
        <w:rPr>
          <w:rFonts w:hint="eastAsia"/>
          <w:lang w:val="en-US" w:eastAsia="zh-CN"/>
        </w:rPr>
        <w:t>1.乙方保证其向甲方提供本合同项下之服务不涉及未经授权或侵犯第三方合法权益等法律瑕疵。否则，甲方有权单方解除本合同，无需支付任何费用，乙方应承担因此给甲方造成的一切损失。</w:t>
      </w:r>
    </w:p>
    <w:p w14:paraId="2864B847">
      <w:pPr>
        <w:bidi w:val="0"/>
        <w:rPr>
          <w:rFonts w:hint="eastAsia"/>
          <w:lang w:val="en-US" w:eastAsia="zh-CN"/>
        </w:rPr>
      </w:pPr>
      <w:r>
        <w:rPr>
          <w:rFonts w:hint="eastAsia"/>
          <w:lang w:val="en-US" w:eastAsia="zh-CN"/>
        </w:rPr>
        <w:t>2.因乙方违约导致甲方为维权而支出的包括但不限于律师费、诉讼保全保险费、采取其他措施支出的费用、鉴定费、第三方索赔费等均由乙方承担。</w:t>
      </w:r>
    </w:p>
    <w:p w14:paraId="2BF60BFD">
      <w:pPr>
        <w:bidi w:val="0"/>
        <w:rPr>
          <w:rFonts w:hint="eastAsia"/>
          <w:lang w:val="en-US" w:eastAsia="zh-CN"/>
        </w:rPr>
      </w:pPr>
      <w:r>
        <w:rPr>
          <w:rFonts w:hint="eastAsia"/>
          <w:lang w:val="en-US" w:eastAsia="zh-CN"/>
        </w:rPr>
        <w:t>五、本补充合同生效后，即成为原合同不可分割的组成部分，与原合同具有同等的法律效力。如本补充合同的内容与原合同的内容有不符或抵触的，以本补充合同的内容为准。本补充合同未约定的内容，甲、乙双方严格按照原合同的内容执行。</w:t>
      </w:r>
    </w:p>
    <w:p w14:paraId="678D5BC1">
      <w:pPr>
        <w:bidi w:val="0"/>
        <w:rPr>
          <w:rFonts w:hint="eastAsia"/>
          <w:lang w:eastAsia="zh-CN"/>
        </w:rPr>
      </w:pPr>
      <w:r>
        <w:rPr>
          <w:rFonts w:hint="eastAsia"/>
          <w:lang w:val="en-US" w:eastAsia="zh-CN"/>
        </w:rPr>
        <w:t>六、</w:t>
      </w:r>
      <w:r>
        <w:rPr>
          <w:rFonts w:hint="eastAsia"/>
          <w:lang w:eastAsia="zh-CN"/>
        </w:rPr>
        <w:t>本补充合同一式肆份，双方各执贰份，</w:t>
      </w:r>
      <w:r>
        <w:rPr>
          <w:rFonts w:hint="eastAsia"/>
          <w:lang w:val="en-US" w:eastAsia="zh-CN"/>
        </w:rPr>
        <w:t>均具有同等法律效力，自甲乙双方签字并盖章之日起生效</w:t>
      </w:r>
      <w:r>
        <w:rPr>
          <w:rFonts w:hint="eastAsia"/>
          <w:lang w:eastAsia="zh-CN"/>
        </w:rPr>
        <w:t>。</w:t>
      </w:r>
    </w:p>
    <w:p w14:paraId="384BAAC7">
      <w:pPr>
        <w:bidi w:val="0"/>
        <w:rPr>
          <w:rFonts w:hint="eastAsia"/>
          <w:lang w:eastAsia="zh-CN"/>
        </w:rPr>
      </w:pPr>
    </w:p>
    <w:p w14:paraId="4D79B2D1">
      <w:pPr>
        <w:bidi w:val="0"/>
        <w:rPr>
          <w:rFonts w:hint="eastAsia"/>
          <w:lang w:eastAsia="zh-CN"/>
        </w:rPr>
      </w:pPr>
    </w:p>
    <w:p w14:paraId="2081F404">
      <w:pPr>
        <w:bidi w:val="0"/>
        <w:rPr>
          <w:rFonts w:hint="eastAsia"/>
        </w:rPr>
      </w:pPr>
      <w:r>
        <w:rPr>
          <w:rFonts w:hint="eastAsia"/>
        </w:rPr>
        <w:t>甲方</w:t>
      </w:r>
      <w:r>
        <w:rPr>
          <w:rFonts w:hint="eastAsia"/>
          <w:lang w:eastAsia="zh-CN"/>
        </w:rPr>
        <w:t>（</w:t>
      </w:r>
      <w:r>
        <w:rPr>
          <w:rFonts w:hint="eastAsia"/>
          <w:lang w:val="en-US" w:eastAsia="zh-CN"/>
        </w:rPr>
        <w:t>盖章）</w:t>
      </w:r>
      <w:r>
        <w:rPr>
          <w:rFonts w:hint="eastAsia"/>
        </w:rPr>
        <w:t>：中山市公共交通运输集团有限公司</w:t>
      </w:r>
    </w:p>
    <w:p w14:paraId="00592FCB">
      <w:pPr>
        <w:bidi w:val="0"/>
        <w:rPr>
          <w:rFonts w:hint="eastAsia"/>
        </w:rPr>
      </w:pPr>
      <w:r>
        <w:rPr>
          <w:rFonts w:hint="eastAsia"/>
        </w:rPr>
        <w:t>法定代表人/授权代理人</w:t>
      </w:r>
      <w:r>
        <w:rPr>
          <w:rFonts w:hint="eastAsia"/>
          <w:lang w:eastAsia="zh-CN"/>
        </w:rPr>
        <w:t>（</w:t>
      </w:r>
      <w:r>
        <w:rPr>
          <w:rFonts w:hint="eastAsia"/>
          <w:lang w:val="en-US" w:eastAsia="zh-CN"/>
        </w:rPr>
        <w:t>签字）</w:t>
      </w:r>
      <w:r>
        <w:rPr>
          <w:rFonts w:hint="eastAsia"/>
          <w:lang w:eastAsia="zh-CN"/>
        </w:rPr>
        <w:t>：</w:t>
      </w:r>
    </w:p>
    <w:p w14:paraId="52825A46">
      <w:pPr>
        <w:bidi w:val="0"/>
        <w:rPr>
          <w:rFonts w:hint="eastAsia"/>
          <w:lang w:eastAsia="zh-CN"/>
        </w:rPr>
      </w:pPr>
      <w:r>
        <w:rPr>
          <w:rFonts w:hint="eastAsia"/>
          <w:lang w:eastAsia="zh-CN"/>
        </w:rPr>
        <w:t>日期：</w:t>
      </w:r>
    </w:p>
    <w:p w14:paraId="170CF507">
      <w:pPr>
        <w:bidi w:val="0"/>
        <w:rPr>
          <w:rFonts w:hint="eastAsia"/>
        </w:rPr>
      </w:pPr>
    </w:p>
    <w:p w14:paraId="60589115">
      <w:pPr>
        <w:bidi w:val="0"/>
        <w:rPr>
          <w:rFonts w:hint="eastAsia"/>
        </w:rPr>
      </w:pPr>
    </w:p>
    <w:p w14:paraId="6CF462B3">
      <w:pPr>
        <w:bidi w:val="0"/>
        <w:rPr>
          <w:rFonts w:hint="eastAsia"/>
        </w:rPr>
      </w:pPr>
      <w:r>
        <w:rPr>
          <w:rFonts w:hint="eastAsia"/>
        </w:rPr>
        <w:t>乙方</w:t>
      </w:r>
      <w:r>
        <w:rPr>
          <w:rFonts w:hint="eastAsia"/>
          <w:lang w:eastAsia="zh-CN"/>
        </w:rPr>
        <w:t>（</w:t>
      </w:r>
      <w:r>
        <w:rPr>
          <w:rFonts w:hint="eastAsia"/>
          <w:lang w:val="en-US" w:eastAsia="zh-CN"/>
        </w:rPr>
        <w:t>盖章）</w:t>
      </w:r>
      <w:r>
        <w:rPr>
          <w:rFonts w:hint="eastAsia"/>
        </w:rPr>
        <w:t>：</w:t>
      </w:r>
    </w:p>
    <w:p w14:paraId="74C7CBB0">
      <w:pPr>
        <w:bidi w:val="0"/>
        <w:rPr>
          <w:rFonts w:hint="eastAsia"/>
        </w:rPr>
      </w:pPr>
      <w:r>
        <w:rPr>
          <w:rFonts w:hint="eastAsia"/>
        </w:rPr>
        <w:t>法定代表人/授权代理人</w:t>
      </w:r>
      <w:r>
        <w:rPr>
          <w:rFonts w:hint="eastAsia"/>
          <w:lang w:eastAsia="zh-CN"/>
        </w:rPr>
        <w:t>（</w:t>
      </w:r>
      <w:r>
        <w:rPr>
          <w:rFonts w:hint="eastAsia"/>
          <w:lang w:val="en-US" w:eastAsia="zh-CN"/>
        </w:rPr>
        <w:t>签字）</w:t>
      </w:r>
      <w:r>
        <w:rPr>
          <w:rFonts w:hint="eastAsia"/>
          <w:lang w:eastAsia="zh-CN"/>
        </w:rPr>
        <w:t>：</w:t>
      </w:r>
    </w:p>
    <w:p w14:paraId="5F9DECD2">
      <w:pPr>
        <w:bidi w:val="0"/>
        <w:rPr>
          <w:rFonts w:ascii="仿宋" w:hAnsi="仿宋" w:eastAsia="仿宋" w:cs="仿宋"/>
          <w:color w:val="auto"/>
          <w:szCs w:val="24"/>
          <w:highlight w:val="none"/>
          <w:u w:val="single" w:color="auto"/>
        </w:rPr>
      </w:pPr>
      <w:r>
        <w:rPr>
          <w:rFonts w:hint="eastAsia"/>
          <w:lang w:eastAsia="zh-CN"/>
        </w:rPr>
        <w:t>日期：</w:t>
      </w:r>
    </w:p>
    <w:sectPr>
      <w:footerReference r:id="rId6" w:type="default"/>
      <w:pgSz w:w="11906" w:h="16839"/>
      <w:pgMar w:top="1431" w:right="1749" w:bottom="1180" w:left="1785" w:header="0" w:footer="9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96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9E24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69E24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DA8D">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6BF6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C6BF6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5A4109"/>
    <w:multiLevelType w:val="singleLevel"/>
    <w:tmpl w:val="755A410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RiNDE4NmVjZTdhMWNhNjM0Y2ZkZGM4MDg3YzM3MzMifQ=="/>
  </w:docVars>
  <w:rsids>
    <w:rsidRoot w:val="00000000"/>
    <w:rsid w:val="01213882"/>
    <w:rsid w:val="01C40DDD"/>
    <w:rsid w:val="02571C51"/>
    <w:rsid w:val="03587A82"/>
    <w:rsid w:val="040F0EA5"/>
    <w:rsid w:val="05BE4923"/>
    <w:rsid w:val="06464A2F"/>
    <w:rsid w:val="067F20E5"/>
    <w:rsid w:val="082A3964"/>
    <w:rsid w:val="086A5B0F"/>
    <w:rsid w:val="0ADD4CBE"/>
    <w:rsid w:val="0FA222F2"/>
    <w:rsid w:val="100625C1"/>
    <w:rsid w:val="121D1E44"/>
    <w:rsid w:val="127F665A"/>
    <w:rsid w:val="12A14823"/>
    <w:rsid w:val="12E60488"/>
    <w:rsid w:val="13BB36C2"/>
    <w:rsid w:val="15FF6F92"/>
    <w:rsid w:val="17887D5F"/>
    <w:rsid w:val="17B943BD"/>
    <w:rsid w:val="18E702C9"/>
    <w:rsid w:val="18EF4C69"/>
    <w:rsid w:val="1AC95552"/>
    <w:rsid w:val="1AD55655"/>
    <w:rsid w:val="1EA6208B"/>
    <w:rsid w:val="1F0D396C"/>
    <w:rsid w:val="20EE50D7"/>
    <w:rsid w:val="2190618E"/>
    <w:rsid w:val="26AC220D"/>
    <w:rsid w:val="280451E0"/>
    <w:rsid w:val="282202C9"/>
    <w:rsid w:val="28A40771"/>
    <w:rsid w:val="29282771"/>
    <w:rsid w:val="2C3818FC"/>
    <w:rsid w:val="2C6B1CD2"/>
    <w:rsid w:val="2CE2210F"/>
    <w:rsid w:val="2D355E3C"/>
    <w:rsid w:val="2F1C3757"/>
    <w:rsid w:val="2F3E7D67"/>
    <w:rsid w:val="317A4765"/>
    <w:rsid w:val="3330157F"/>
    <w:rsid w:val="338F274A"/>
    <w:rsid w:val="33B43F5E"/>
    <w:rsid w:val="34873421"/>
    <w:rsid w:val="34B97B11"/>
    <w:rsid w:val="34FF38FF"/>
    <w:rsid w:val="38685317"/>
    <w:rsid w:val="38DD7AB3"/>
    <w:rsid w:val="391B4A7F"/>
    <w:rsid w:val="3AFE4D0B"/>
    <w:rsid w:val="3B3616FD"/>
    <w:rsid w:val="3C067321"/>
    <w:rsid w:val="3FFD4DD0"/>
    <w:rsid w:val="414D7889"/>
    <w:rsid w:val="41650F8E"/>
    <w:rsid w:val="44181FA3"/>
    <w:rsid w:val="4530540F"/>
    <w:rsid w:val="45B24076"/>
    <w:rsid w:val="46C53FAB"/>
    <w:rsid w:val="47705F96"/>
    <w:rsid w:val="47DC187E"/>
    <w:rsid w:val="48286871"/>
    <w:rsid w:val="48D83DF3"/>
    <w:rsid w:val="491533EC"/>
    <w:rsid w:val="49D502CB"/>
    <w:rsid w:val="4D8B3F74"/>
    <w:rsid w:val="4DBF1C72"/>
    <w:rsid w:val="4E344BFD"/>
    <w:rsid w:val="4F734876"/>
    <w:rsid w:val="4FA66E37"/>
    <w:rsid w:val="50357D7D"/>
    <w:rsid w:val="51895B06"/>
    <w:rsid w:val="51DA0BDC"/>
    <w:rsid w:val="530F48B5"/>
    <w:rsid w:val="54833904"/>
    <w:rsid w:val="55564A1D"/>
    <w:rsid w:val="55EB160A"/>
    <w:rsid w:val="57DD65CB"/>
    <w:rsid w:val="596C096E"/>
    <w:rsid w:val="59AC7302"/>
    <w:rsid w:val="5A073549"/>
    <w:rsid w:val="5A984B7A"/>
    <w:rsid w:val="5B2E3D47"/>
    <w:rsid w:val="5C6A5252"/>
    <w:rsid w:val="5CAF2C65"/>
    <w:rsid w:val="5F2D2C93"/>
    <w:rsid w:val="5F2E28C1"/>
    <w:rsid w:val="62436329"/>
    <w:rsid w:val="63F11BF1"/>
    <w:rsid w:val="64AC465A"/>
    <w:rsid w:val="661C580F"/>
    <w:rsid w:val="6655487D"/>
    <w:rsid w:val="685D44FB"/>
    <w:rsid w:val="689033D6"/>
    <w:rsid w:val="68F408BE"/>
    <w:rsid w:val="69531548"/>
    <w:rsid w:val="6A4964A7"/>
    <w:rsid w:val="6A7B0B90"/>
    <w:rsid w:val="6B113469"/>
    <w:rsid w:val="6B440046"/>
    <w:rsid w:val="6E027099"/>
    <w:rsid w:val="6F3119B1"/>
    <w:rsid w:val="6FE4739E"/>
    <w:rsid w:val="70253512"/>
    <w:rsid w:val="717C7162"/>
    <w:rsid w:val="731D6723"/>
    <w:rsid w:val="74343D24"/>
    <w:rsid w:val="797E5812"/>
    <w:rsid w:val="799A287B"/>
    <w:rsid w:val="7A2D742D"/>
    <w:rsid w:val="7A454EDD"/>
    <w:rsid w:val="7B954339"/>
    <w:rsid w:val="7BFF0331"/>
    <w:rsid w:val="7C874A33"/>
    <w:rsid w:val="7D9E2DD0"/>
    <w:rsid w:val="7F58120E"/>
    <w:rsid w:val="FBEF71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863" w:firstLineChars="200"/>
      <w:jc w:val="left"/>
      <w:textAlignment w:val="baseline"/>
    </w:pPr>
    <w:rPr>
      <w:rFonts w:ascii="Times New Roman" w:hAnsi="Times New Roman" w:eastAsia="仿宋_GB2312" w:cs="Times New Roman"/>
      <w:snapToGrid w:val="0"/>
      <w:color w:val="000000"/>
      <w:kern w:val="0"/>
      <w:sz w:val="24"/>
      <w:szCs w:val="24"/>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黑体" w:hAnsi="黑体" w:eastAsia="黑体" w:cs="黑体"/>
      <w:sz w:val="43"/>
      <w:szCs w:val="4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2442</Words>
  <Characters>2755</Characters>
  <Lines>1</Lines>
  <Paragraphs>1</Paragraphs>
  <TotalTime>0</TotalTime>
  <ScaleCrop>false</ScaleCrop>
  <LinksUpToDate>false</LinksUpToDate>
  <CharactersWithSpaces>2762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2024-11-23T09:29:00Z</dcterms:created>
  <dc:creator>HP</dc:creator>
  <cp:lastModifiedBy>梁秋</cp:lastModifiedBy>
  <dcterms:modified xsi:type="dcterms:W3CDTF">2025-12-04T03:17:46Z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2024-11-25T08:56:37Z</vt:filetime>
  </property>
  <property fmtid="{D5CDD505-2E9C-101B-9397-08002B2CF9AE}" pid="4" name="KSOProductBuildVer">
    <vt:lpwstr>2052-12.1.0.24034</vt:lpwstr>
  </property>
  <property fmtid="{D5CDD505-2E9C-101B-9397-08002B2CF9AE}" pid="5" name="ICV">
    <vt:lpwstr>06443EC9785B416284F506100793BDC8_13</vt:lpwstr>
  </property>
  <property fmtid="{D5CDD505-2E9C-101B-9397-08002B2CF9AE}" pid="6" name="KSOTemplateDocerSaveRecord">
    <vt:lpwstr>eyJoZGlkIjoiYmRiNDE4NmVjZTdhMWNhNjM0Y2ZkZGM4MDg3YzM3MzMiLCJ1c2VySWQiOiI2MjU2MTQxNTkifQ==</vt:lpwstr>
  </property>
</Properties>
</file>