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0"/>
          <w:szCs w:val="40"/>
          <w:highlight w:val="none"/>
          <w:lang w:val="en-US" w:eastAsia="zh-CN"/>
        </w:rPr>
        <w:t>城东汽车修配厂城东车间大型机具设备拆卸、搬迁</w:t>
      </w:r>
      <w:r>
        <w:rPr>
          <w:rFonts w:hint="eastAsia" w:hAnsi="宋体" w:cs="宋体"/>
          <w:b/>
          <w:color w:val="auto"/>
          <w:kern w:val="0"/>
          <w:sz w:val="40"/>
          <w:szCs w:val="40"/>
          <w:highlight w:val="none"/>
          <w:lang w:val="en-US" w:eastAsia="zh-CN"/>
        </w:rPr>
        <w:t>服务（第二次）</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w:t>
      </w:r>
      <w:r>
        <w:rPr>
          <w:rFonts w:hint="eastAsia" w:ascii="宋体" w:hAnsi="宋体" w:cs="宋体"/>
          <w:color w:val="auto"/>
          <w:sz w:val="24"/>
          <w:szCs w:val="24"/>
          <w:highlight w:val="none"/>
          <w:lang w:val="en-US" w:eastAsia="zh-CN"/>
        </w:rPr>
        <w:t>城东汽车修配厂城东车间大型机具设备拆卸、搬迁服务</w:t>
      </w:r>
      <w:r>
        <w:rPr>
          <w:rFonts w:hint="eastAsia" w:ascii="宋体" w:hAnsi="宋体" w:eastAsia="宋体" w:cs="宋体"/>
          <w:color w:val="auto"/>
          <w:sz w:val="24"/>
          <w:szCs w:val="24"/>
          <w:highlight w:val="none"/>
          <w:lang w:val="en-US" w:eastAsia="zh-CN"/>
        </w:rPr>
        <w:t>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eastAsia="宋体" w:cs="宋体"/>
          <w:color w:val="auto"/>
          <w:sz w:val="24"/>
          <w:szCs w:val="24"/>
          <w:highlight w:val="none"/>
          <w:lang w:val="en-US" w:eastAsia="zh-CN"/>
        </w:rPr>
        <w:t>城东汽车修配厂城东车间大型机具设备拆卸、搬迁服务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第二次</w:t>
      </w:r>
      <w:r>
        <w:rPr>
          <w:rFonts w:hint="eastAsia" w:ascii="宋体" w:hAnsi="宋体" w:eastAsia="宋体" w:cs="宋体"/>
          <w:sz w:val="24"/>
          <w:szCs w:val="24"/>
          <w:lang w:eastAsia="zh-CN"/>
        </w:rPr>
        <w:t>）</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¥57550.00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63389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因企业发展需要，采购人拟从原厂房搬迁到新场站，原站场维修车间大型机具设备需由专业人员按机具设备类型分别开展拆卸后处理，以及搬迁到新站场安装并调试，具体工作见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（四）参评服务商全部满足本项目的需求，填写《需求响应表》并全部完全响应，无负偏离。</w:t>
      </w:r>
    </w:p>
    <w:p w14:paraId="3A663B9D">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bookmarkStart w:id="22" w:name="_GoBack"/>
      <w:bookmarkEnd w:id="22"/>
      <w:r>
        <w:rPr>
          <w:rFonts w:hint="eastAsia" w:ascii="宋体" w:hAnsi="宋体" w:eastAsia="宋体" w:cs="宋体"/>
          <w:color w:val="auto"/>
          <w:sz w:val="24"/>
          <w:szCs w:val="24"/>
          <w:highlight w:val="none"/>
          <w:lang w:val="en-US" w:eastAsia="zh-CN"/>
        </w:rPr>
        <w:t>（以采购人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先生</w:t>
      </w:r>
      <w:r>
        <w:rPr>
          <w:rFonts w:hint="eastAsia" w:ascii="宋体" w:hAnsi="宋体" w:cs="宋体"/>
          <w:color w:val="auto"/>
          <w:sz w:val="24"/>
          <w:szCs w:val="24"/>
          <w:highlight w:val="none"/>
          <w:lang w:val="en-US" w:eastAsia="zh-CN"/>
        </w:rPr>
        <w:t>15918225909</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采购人拟从原厂房搬迁到新场站，原站场维修车间大型机具设备需由专业人员按机具设备类型分别开展拆卸后处置，以及搬迁到新站场安装并调试，满足采购人使用要求。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57550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（以上报价含税费、工时费、工具费、运输费、安装费等费用）</w:t>
      </w:r>
      <w:r>
        <w:rPr>
          <w:rFonts w:hint="eastAsia" w:ascii="宋体" w:hAnsi="宋体" w:eastAsia="宋体" w:cs="宋体"/>
          <w:b w:val="0"/>
          <w:bCs w:val="0"/>
          <w:color w:val="auto"/>
          <w:sz w:val="24"/>
          <w:szCs w:val="24"/>
          <w:highlight w:val="none"/>
          <w:lang w:val="en-US" w:eastAsia="zh-CN"/>
        </w:rPr>
        <w:t>。</w:t>
      </w:r>
    </w:p>
    <w:p w14:paraId="5F775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二、</w:t>
      </w:r>
      <w:r>
        <w:rPr>
          <w:rFonts w:hint="eastAsia" w:ascii="宋体" w:hAnsi="宋体" w:cs="宋体"/>
          <w:b/>
          <w:bCs/>
          <w:color w:val="auto"/>
          <w:sz w:val="24"/>
          <w:szCs w:val="24"/>
          <w:highlight w:val="none"/>
          <w:lang w:val="en-US" w:eastAsia="zh-CN"/>
        </w:rPr>
        <w:t>具体要求</w:t>
      </w:r>
    </w:p>
    <w:p w14:paraId="39629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（一）服务项目及具体要求</w:t>
      </w:r>
    </w:p>
    <w:tbl>
      <w:tblPr>
        <w:tblStyle w:val="32"/>
        <w:tblpPr w:leftFromText="180" w:rightFromText="180" w:vertAnchor="text" w:horzAnchor="page" w:tblpX="658" w:tblpY="586"/>
        <w:tblOverlap w:val="never"/>
        <w:tblW w:w="106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00"/>
        <w:gridCol w:w="2475"/>
        <w:gridCol w:w="768"/>
        <w:gridCol w:w="2907"/>
        <w:gridCol w:w="2550"/>
      </w:tblGrid>
      <w:tr w14:paraId="3E59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DA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EF0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9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F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45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工作量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3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技术要求</w:t>
            </w:r>
          </w:p>
        </w:tc>
      </w:tr>
      <w:tr w14:paraId="727C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66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8DA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城东车间大型设备及铁棚拆卸</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A1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拆卸污水处理器</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9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3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约30立方器材及10米深水井泵，约2吨</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856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拆卸后堆放到指定位置，后续按公司相关流程处置。</w:t>
            </w:r>
          </w:p>
        </w:tc>
      </w:tr>
      <w:tr w14:paraId="34B2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347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76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拆卸大型行吊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A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1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约高5米长40米两条槽钢梁及电机、约12吨</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956E">
            <w:pPr>
              <w:jc w:val="left"/>
              <w:rPr>
                <w:rFonts w:hint="eastAsia" w:ascii="宋体" w:hAnsi="宋体" w:eastAsia="宋体" w:cs="宋体"/>
                <w:i w:val="0"/>
                <w:iCs w:val="0"/>
                <w:color w:val="000000"/>
                <w:sz w:val="24"/>
                <w:szCs w:val="24"/>
                <w:highlight w:val="none"/>
                <w:u w:val="none"/>
              </w:rPr>
            </w:pPr>
          </w:p>
        </w:tc>
      </w:tr>
      <w:tr w14:paraId="4E28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F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4C93">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0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拆卸汽车全自动安全性能检测线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D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地下滚筒及设备，约1吨</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9856">
            <w:pPr>
              <w:jc w:val="left"/>
              <w:rPr>
                <w:rFonts w:hint="eastAsia" w:ascii="宋体" w:hAnsi="宋体" w:eastAsia="宋体" w:cs="宋体"/>
                <w:i w:val="0"/>
                <w:iCs w:val="0"/>
                <w:color w:val="000000"/>
                <w:sz w:val="24"/>
                <w:szCs w:val="24"/>
                <w:highlight w:val="none"/>
                <w:u w:val="none"/>
              </w:rPr>
            </w:pPr>
          </w:p>
        </w:tc>
      </w:tr>
      <w:tr w14:paraId="204D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5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F412">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3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拆卸洗车区铁棚</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9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C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约5米高60平方铁棚</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9259">
            <w:pPr>
              <w:jc w:val="left"/>
              <w:rPr>
                <w:rFonts w:hint="eastAsia" w:ascii="宋体" w:hAnsi="宋体" w:eastAsia="宋体" w:cs="宋体"/>
                <w:i w:val="0"/>
                <w:iCs w:val="0"/>
                <w:color w:val="000000"/>
                <w:sz w:val="24"/>
                <w:szCs w:val="24"/>
                <w:highlight w:val="none"/>
                <w:u w:val="none"/>
              </w:rPr>
            </w:pPr>
          </w:p>
        </w:tc>
      </w:tr>
      <w:tr w14:paraId="5488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6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FA12">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D3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拆卸吹尘房锌铁棚</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D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3D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约5米高40平方铁棚</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E5FD">
            <w:pPr>
              <w:jc w:val="left"/>
              <w:rPr>
                <w:rFonts w:hint="eastAsia" w:ascii="宋体" w:hAnsi="宋体" w:eastAsia="宋体" w:cs="宋体"/>
                <w:i w:val="0"/>
                <w:iCs w:val="0"/>
                <w:color w:val="000000"/>
                <w:sz w:val="24"/>
                <w:szCs w:val="24"/>
                <w:highlight w:val="none"/>
                <w:u w:val="none"/>
              </w:rPr>
            </w:pPr>
          </w:p>
        </w:tc>
      </w:tr>
      <w:tr w14:paraId="05FE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59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24C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城东车间大型机具设备搬迁</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3E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大型剪板机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9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D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约长3米、约5.5吨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25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1483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6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9AAD">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1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大型折弯机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A3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约长3米、约4.5吨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8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555C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F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983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D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钳工车床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DE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约长2米、约3吨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A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41A7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9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E060">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FE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7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31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7C11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F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1A85">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8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大型拆胎机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5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60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约长2米、约1.2吨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9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19AE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89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32A4">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D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打气机总成及储气罐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F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F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约0.7吨每套共3套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18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搬迁到新站场安装</w:t>
            </w:r>
          </w:p>
        </w:tc>
      </w:tr>
      <w:tr w14:paraId="22AC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7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B2C8">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7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叉车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6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37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约4吨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8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r w14:paraId="6F20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5819">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E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C0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2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约4平方、约2吨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F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r w14:paraId="1DF8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CFC0">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A9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光鼓机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BE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约1.5吨每套共2套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D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搬迁到新站场需调试</w:t>
            </w:r>
          </w:p>
        </w:tc>
      </w:tr>
      <w:tr w14:paraId="470C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3189">
            <w:pPr>
              <w:jc w:val="left"/>
              <w:rPr>
                <w:rFonts w:hint="eastAsia" w:ascii="宋体" w:hAnsi="宋体" w:eastAsia="宋体" w:cs="宋体"/>
                <w:i w:val="0"/>
                <w:iCs w:val="0"/>
                <w:color w:val="000000"/>
                <w:sz w:val="24"/>
                <w:szCs w:val="24"/>
                <w:highlight w:val="none"/>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F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洗车机、工作楼梯等</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1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30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约5件、约3吨</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1D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搬迁到新站场</w:t>
            </w:r>
          </w:p>
        </w:tc>
      </w:tr>
    </w:tbl>
    <w:p w14:paraId="174176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en-US" w:eastAsia="zh-CN"/>
        </w:rPr>
      </w:pPr>
    </w:p>
    <w:p w14:paraId="4C63FA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14:paraId="7824F1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bCs w:val="0"/>
          <w:color w:val="auto"/>
          <w:szCs w:val="21"/>
          <w:highlight w:val="none"/>
          <w:lang w:val="en-US" w:eastAsia="zh-CN"/>
        </w:rPr>
        <w:t>表中</w:t>
      </w:r>
      <w:r>
        <w:rPr>
          <w:rFonts w:hint="eastAsia" w:ascii="宋体" w:hAnsi="宋体" w:cs="宋体"/>
          <w:b w:val="0"/>
          <w:bCs w:val="0"/>
          <w:color w:val="auto"/>
          <w:szCs w:val="21"/>
          <w:highlight w:val="none"/>
          <w:lang w:val="en-US" w:eastAsia="zh-CN"/>
        </w:rPr>
        <w:t>服务工作</w:t>
      </w:r>
      <w:r>
        <w:rPr>
          <w:rFonts w:hint="eastAsia" w:ascii="宋体" w:hAnsi="宋体" w:eastAsia="宋体" w:cs="宋体"/>
          <w:b w:val="0"/>
          <w:bCs w:val="0"/>
          <w:color w:val="auto"/>
          <w:szCs w:val="21"/>
          <w:highlight w:val="none"/>
          <w:lang w:val="en-US" w:eastAsia="zh-CN"/>
        </w:rPr>
        <w:t>量为暂定数量，</w:t>
      </w:r>
      <w:r>
        <w:rPr>
          <w:rFonts w:hint="eastAsia" w:ascii="宋体" w:hAnsi="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lang w:val="en-US" w:eastAsia="zh-CN"/>
        </w:rPr>
        <w:t>有权按实际需要对本项目采购数量作适量</w:t>
      </w:r>
      <w:r>
        <w:rPr>
          <w:rFonts w:hint="eastAsia" w:ascii="宋体" w:hAnsi="宋体" w:cs="宋体"/>
          <w:b w:val="0"/>
          <w:bCs w:val="0"/>
          <w:color w:val="auto"/>
          <w:szCs w:val="21"/>
          <w:highlight w:val="none"/>
          <w:lang w:val="en-US" w:eastAsia="zh-CN"/>
        </w:rPr>
        <w:t>增加或</w:t>
      </w:r>
      <w:r>
        <w:rPr>
          <w:rFonts w:hint="eastAsia" w:ascii="宋体" w:hAnsi="宋体" w:eastAsia="宋体" w:cs="宋体"/>
          <w:b w:val="0"/>
          <w:bCs w:val="0"/>
          <w:color w:val="auto"/>
          <w:szCs w:val="21"/>
          <w:highlight w:val="none"/>
          <w:lang w:val="en-US" w:eastAsia="zh-CN"/>
        </w:rPr>
        <w:t>减少；</w:t>
      </w:r>
    </w:p>
    <w:p w14:paraId="1D52E3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b w:val="0"/>
          <w:color w:val="auto"/>
          <w:kern w:val="2"/>
          <w:sz w:val="21"/>
          <w:szCs w:val="21"/>
          <w:highlight w:val="none"/>
          <w:lang w:val="en-US" w:eastAsia="zh-CN" w:bidi="ar"/>
        </w:rPr>
        <w:t>表中工作量为参考数据，</w:t>
      </w:r>
      <w:r>
        <w:rPr>
          <w:rFonts w:hint="eastAsia" w:ascii="宋体" w:hAnsi="宋体" w:cs="宋体"/>
          <w:b w:val="0"/>
          <w:bCs w:val="0"/>
          <w:color w:val="auto"/>
          <w:szCs w:val="21"/>
          <w:highlight w:val="none"/>
          <w:lang w:val="en-US" w:eastAsia="zh-CN"/>
        </w:rPr>
        <w:t>采购人</w:t>
      </w:r>
      <w:r>
        <w:rPr>
          <w:rFonts w:hint="eastAsia" w:ascii="宋体" w:hAnsi="宋体" w:cs="宋体"/>
          <w:b w:val="0"/>
          <w:color w:val="auto"/>
          <w:kern w:val="2"/>
          <w:sz w:val="21"/>
          <w:szCs w:val="21"/>
          <w:highlight w:val="none"/>
          <w:lang w:val="en-US" w:eastAsia="zh-CN" w:bidi="ar"/>
        </w:rPr>
        <w:t>可按新站场的实际场地情况作适量调整；</w:t>
      </w:r>
    </w:p>
    <w:p w14:paraId="68AAB8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color w:val="auto"/>
          <w:kern w:val="2"/>
          <w:sz w:val="21"/>
          <w:szCs w:val="21"/>
          <w:highlight w:val="none"/>
          <w:lang w:val="en-US" w:eastAsia="zh-CN" w:bidi="ar"/>
        </w:rPr>
        <w:t>以上报价</w:t>
      </w:r>
      <w:r>
        <w:rPr>
          <w:rFonts w:hint="eastAsia" w:ascii="Times New Roman" w:hAnsi="Times New Roman" w:eastAsia="宋体" w:cs="Times New Roman"/>
          <w:b w:val="0"/>
          <w:color w:val="auto"/>
          <w:kern w:val="2"/>
          <w:sz w:val="21"/>
          <w:szCs w:val="21"/>
          <w:highlight w:val="none"/>
          <w:lang w:val="en-US" w:eastAsia="zh-CN" w:bidi="ar"/>
        </w:rPr>
        <w:t>包括税费、</w:t>
      </w:r>
      <w:r>
        <w:rPr>
          <w:rFonts w:hint="eastAsia" w:cs="Times New Roman"/>
          <w:b w:val="0"/>
          <w:color w:val="auto"/>
          <w:kern w:val="2"/>
          <w:sz w:val="21"/>
          <w:szCs w:val="21"/>
          <w:highlight w:val="none"/>
          <w:lang w:val="en-US" w:eastAsia="zh-CN" w:bidi="ar"/>
        </w:rPr>
        <w:t>工时费、加工费、工具费</w:t>
      </w:r>
      <w:r>
        <w:rPr>
          <w:rFonts w:hint="eastAsia" w:ascii="Times New Roman" w:hAnsi="Times New Roman" w:eastAsia="宋体" w:cs="Times New Roman"/>
          <w:b w:val="0"/>
          <w:color w:val="auto"/>
          <w:kern w:val="2"/>
          <w:sz w:val="21"/>
          <w:szCs w:val="21"/>
          <w:highlight w:val="none"/>
          <w:lang w:val="en-US" w:eastAsia="zh-CN" w:bidi="ar"/>
        </w:rPr>
        <w:t>、运输费、</w:t>
      </w:r>
      <w:r>
        <w:rPr>
          <w:rFonts w:hint="eastAsia" w:cs="Times New Roman"/>
          <w:b w:val="0"/>
          <w:color w:val="auto"/>
          <w:kern w:val="2"/>
          <w:sz w:val="21"/>
          <w:szCs w:val="21"/>
          <w:highlight w:val="none"/>
          <w:lang w:val="en-US" w:eastAsia="zh-CN" w:bidi="ar"/>
        </w:rPr>
        <w:t>安装费</w:t>
      </w:r>
      <w:r>
        <w:rPr>
          <w:rFonts w:hint="eastAsia" w:ascii="Times New Roman" w:hAnsi="Times New Roman" w:eastAsia="宋体" w:cs="Times New Roman"/>
          <w:b w:val="0"/>
          <w:color w:val="auto"/>
          <w:kern w:val="2"/>
          <w:sz w:val="21"/>
          <w:szCs w:val="21"/>
          <w:highlight w:val="none"/>
          <w:lang w:val="en-US" w:eastAsia="zh-CN" w:bidi="ar"/>
        </w:rPr>
        <w:t>等费用</w:t>
      </w:r>
      <w:r>
        <w:rPr>
          <w:rFonts w:hint="eastAsia" w:ascii="宋体" w:hAnsi="宋体" w:eastAsia="宋体" w:cs="宋体"/>
          <w:sz w:val="21"/>
          <w:szCs w:val="21"/>
          <w:highlight w:val="none"/>
          <w:lang w:val="en-US" w:eastAsia="zh-CN"/>
        </w:rPr>
        <w:t>；</w:t>
      </w:r>
    </w:p>
    <w:p w14:paraId="4FAC8752">
      <w:pPr>
        <w:pStyle w:val="4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eastAsia="zh-CN"/>
        </w:rPr>
        <w:t>的</w:t>
      </w:r>
      <w:r>
        <w:rPr>
          <w:rFonts w:hint="eastAsia" w:ascii="宋体" w:hAnsi="宋体" w:cs="宋体"/>
          <w:bCs/>
          <w:sz w:val="24"/>
          <w:szCs w:val="24"/>
          <w:highlight w:val="none"/>
          <w:lang w:val="en-US" w:eastAsia="zh-CN"/>
        </w:rPr>
        <w:t>搬迁、拆卸服务技术要求必须</w:t>
      </w:r>
      <w:r>
        <w:rPr>
          <w:rFonts w:hint="eastAsia" w:ascii="宋体" w:hAnsi="宋体" w:eastAsia="宋体" w:cs="宋体"/>
          <w:bCs/>
          <w:sz w:val="24"/>
          <w:szCs w:val="24"/>
          <w:highlight w:val="none"/>
        </w:rPr>
        <w:t>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w:t>
      </w:r>
      <w:r>
        <w:rPr>
          <w:rFonts w:hint="eastAsia" w:ascii="宋体" w:hAnsi="宋体" w:cs="宋体"/>
          <w:bCs/>
          <w:sz w:val="24"/>
          <w:szCs w:val="24"/>
          <w:highlight w:val="none"/>
          <w:lang w:val="en-US" w:eastAsia="zh-CN"/>
        </w:rPr>
        <w:t>行业</w:t>
      </w:r>
      <w:r>
        <w:rPr>
          <w:rFonts w:hint="eastAsia" w:ascii="宋体" w:hAnsi="宋体" w:eastAsia="宋体" w:cs="宋体"/>
          <w:bCs/>
          <w:sz w:val="24"/>
          <w:szCs w:val="24"/>
          <w:highlight w:val="none"/>
        </w:rPr>
        <w:t>质量标准。</w:t>
      </w:r>
    </w:p>
    <w:p w14:paraId="5B82E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（三）中选人须严格按照国家有关劳动安全、卫生及环保等方面标准进行现场制作施工，所涉切割、动火人员须持有有效的证件，严格遵守采购人现场安全作业要求实施动火作业。</w:t>
      </w:r>
    </w:p>
    <w:p w14:paraId="49B8F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Cs/>
          <w:sz w:val="24"/>
          <w:szCs w:val="24"/>
          <w:highlight w:val="none"/>
          <w:lang w:val="en-US" w:eastAsia="zh-CN"/>
        </w:rPr>
        <w:t>中选人须保证</w:t>
      </w:r>
      <w:r>
        <w:rPr>
          <w:rFonts w:hint="eastAsia" w:ascii="宋体" w:hAnsi="宋体" w:cs="宋体"/>
          <w:bCs/>
          <w:sz w:val="24"/>
          <w:szCs w:val="24"/>
          <w:highlight w:val="none"/>
          <w:lang w:val="en-US" w:eastAsia="zh-CN"/>
        </w:rPr>
        <w:t>机具设备在运输、安装</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调试</w:t>
      </w:r>
      <w:r>
        <w:rPr>
          <w:rFonts w:hint="eastAsia" w:ascii="宋体" w:hAnsi="宋体" w:eastAsia="宋体" w:cs="宋体"/>
          <w:bCs/>
          <w:sz w:val="24"/>
          <w:szCs w:val="24"/>
          <w:highlight w:val="none"/>
          <w:lang w:val="en-US" w:eastAsia="zh-CN"/>
        </w:rPr>
        <w:t>过程中</w:t>
      </w:r>
      <w:r>
        <w:rPr>
          <w:rFonts w:hint="eastAsia" w:ascii="宋体" w:hAnsi="宋体" w:cs="宋体"/>
          <w:bCs/>
          <w:sz w:val="24"/>
          <w:szCs w:val="24"/>
          <w:highlight w:val="none"/>
          <w:lang w:val="en-US" w:eastAsia="zh-CN"/>
        </w:rPr>
        <w:t>设备</w:t>
      </w:r>
      <w:r>
        <w:rPr>
          <w:rFonts w:hint="eastAsia" w:ascii="宋体" w:hAnsi="宋体" w:eastAsia="宋体" w:cs="宋体"/>
          <w:bCs/>
          <w:sz w:val="24"/>
          <w:szCs w:val="24"/>
          <w:highlight w:val="none"/>
          <w:lang w:val="en-US" w:eastAsia="zh-CN"/>
        </w:rPr>
        <w:t>的安全，外观无损坏等瑕疵，结构无脱落、松动等情况。因中选人原因造成的</w:t>
      </w:r>
      <w:r>
        <w:rPr>
          <w:rFonts w:hint="eastAsia" w:ascii="宋体" w:hAnsi="宋体" w:cs="宋体"/>
          <w:bCs/>
          <w:sz w:val="24"/>
          <w:szCs w:val="24"/>
          <w:highlight w:val="none"/>
          <w:lang w:val="en-US" w:eastAsia="zh-CN"/>
        </w:rPr>
        <w:t>机具设备</w:t>
      </w:r>
      <w:r>
        <w:rPr>
          <w:rFonts w:hint="eastAsia" w:ascii="宋体" w:hAnsi="宋体" w:eastAsia="宋体" w:cs="宋体"/>
          <w:bCs/>
          <w:sz w:val="24"/>
          <w:szCs w:val="24"/>
          <w:highlight w:val="none"/>
          <w:lang w:val="en-US" w:eastAsia="zh-CN"/>
        </w:rPr>
        <w:t>损坏和由此产生的修复、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 xml:space="preserve">等费用均由中选人承担。 </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（五）工期要求：自采购人通知之日15个自然日完成大型机具设备拆卸、搬迁服务工作。因中选人原因造成本项目延期所造成的一切影响或导致采购人遭受的相关损失</w:t>
      </w:r>
      <w:r>
        <w:rPr>
          <w:rFonts w:hint="eastAsia" w:ascii="宋体" w:hAnsi="宋体" w:eastAsia="宋体" w:cs="宋体"/>
          <w:bCs/>
          <w:sz w:val="24"/>
          <w:szCs w:val="24"/>
          <w:highlight w:val="none"/>
          <w:lang w:val="en-US" w:eastAsia="zh-CN"/>
        </w:rPr>
        <w:t>均由中选人承担。</w:t>
      </w:r>
    </w:p>
    <w:p w14:paraId="3E154022">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（六）</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中选人完成服务后，由采购人组织验收。验收过程中，采购人发现质量问题的，在3日内向中选人提出，中选人应自采购人提出问题之日起3日内回复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和整改并承担由此产生的费用，</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和整改完毕之日起5日内安排采购人验收。如未按时回复、</w:t>
      </w:r>
      <w:r>
        <w:rPr>
          <w:rFonts w:hint="eastAsia" w:ascii="宋体" w:hAnsi="宋体" w:cs="宋体"/>
          <w:bCs/>
          <w:sz w:val="24"/>
          <w:szCs w:val="24"/>
          <w:highlight w:val="none"/>
          <w:lang w:val="en-US" w:eastAsia="zh-CN"/>
        </w:rPr>
        <w:t>维修</w:t>
      </w:r>
      <w:r>
        <w:rPr>
          <w:rFonts w:hint="eastAsia" w:ascii="宋体" w:hAnsi="宋体" w:eastAsia="宋体" w:cs="宋体"/>
          <w:bCs/>
          <w:sz w:val="24"/>
          <w:szCs w:val="24"/>
          <w:highlight w:val="none"/>
          <w:lang w:val="en-US" w:eastAsia="zh-CN"/>
        </w:rPr>
        <w:t>和完成整改，采购人有权拒收。如验收合格，采购人出具验收报告，作为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194B7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验收之日起15日内，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的100%</w:t>
      </w:r>
      <w:r>
        <w:rPr>
          <w:rFonts w:hint="eastAsia" w:ascii="宋体" w:hAnsi="宋体" w:eastAsia="宋体" w:cs="宋体"/>
          <w:bCs/>
          <w:sz w:val="24"/>
          <w:szCs w:val="24"/>
          <w:highlight w:val="none"/>
          <w:lang w:val="en-US" w:eastAsia="zh-CN"/>
        </w:rPr>
        <w:t>。</w:t>
      </w:r>
    </w:p>
    <w:p w14:paraId="2A099757">
      <w:pPr>
        <w:pStyle w:val="2"/>
        <w:ind w:left="0" w:leftChars="0" w:firstLine="0" w:firstLineChars="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792597C">
      <w:pPr>
        <w:pStyle w:val="2"/>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40"/>
        <w:rPr>
          <w:rFonts w:hint="eastAsia"/>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6847BF6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w:t>
            </w: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6" w:name="_Toc32977098"/>
      <w:bookmarkStart w:id="7" w:name="_Toc202251700"/>
      <w:bookmarkStart w:id="8" w:name="_Toc202254105"/>
      <w:bookmarkStart w:id="9" w:name="_Toc202816996"/>
      <w:bookmarkStart w:id="10" w:name="_Toc202820351"/>
      <w:bookmarkStart w:id="11" w:name="_Toc202251075"/>
      <w:bookmarkStart w:id="12" w:name="_Toc259090982"/>
      <w:bookmarkStart w:id="13" w:name="_Toc202819878"/>
      <w:bookmarkStart w:id="14" w:name="_Toc449531300"/>
      <w:bookmarkStart w:id="15" w:name="_Toc202252034"/>
      <w:bookmarkStart w:id="16" w:name="_Toc6727973"/>
      <w:bookmarkStart w:id="17" w:name="_Toc276645579"/>
      <w:bookmarkStart w:id="18" w:name="_Toc6397152"/>
      <w:bookmarkStart w:id="19" w:name="_Toc20379"/>
    </w:p>
    <w:p w14:paraId="2E5C22A9">
      <w:pPr>
        <w:pStyle w:val="5"/>
        <w:spacing w:before="120" w:after="120"/>
        <w:rPr>
          <w:rFonts w:hint="eastAsia" w:ascii="宋体" w:hAnsi="宋体"/>
          <w:sz w:val="24"/>
          <w:szCs w:val="24"/>
          <w:highlight w:val="none"/>
        </w:rPr>
      </w:pPr>
    </w:p>
    <w:p w14:paraId="1E5DC375">
      <w:pPr>
        <w:pStyle w:val="13"/>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ascii="宋体" w:hAnsi="宋体" w:eastAsia="宋体" w:cs="宋体"/>
          <w:sz w:val="24"/>
          <w:szCs w:val="24"/>
          <w:highlight w:val="none"/>
          <w:u w:val="single"/>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中山市公共交通运输集团有限公司城东汽车修配厂城东车间大型机具设备拆卸、搬迁服务</w:t>
      </w:r>
      <w:r>
        <w:rPr>
          <w:rFonts w:hint="eastAsia"/>
          <w:sz w:val="24"/>
          <w:highlight w:val="none"/>
          <w:u w:val="thick"/>
        </w:rPr>
        <w:t>（第二次）</w:t>
      </w:r>
      <w:r>
        <w:rPr>
          <w:rFonts w:hint="eastAsia"/>
          <w:sz w:val="24"/>
          <w:szCs w:val="24"/>
          <w:highlight w:val="none"/>
          <w:u w:val="thick"/>
          <w:lang w:val="en-US" w:eastAsia="zh-CN"/>
        </w:rPr>
        <w:t xml:space="preserve"> </w:t>
      </w:r>
    </w:p>
    <w:p w14:paraId="2EA565CA">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6"/>
        <w:ind w:firstLine="482"/>
        <w:rPr>
          <w:rFonts w:hint="eastAsia" w:ascii="宋体" w:hAnsi="宋体" w:cs="宋体"/>
          <w:b/>
          <w:bCs/>
          <w:sz w:val="24"/>
          <w:szCs w:val="24"/>
          <w:highlight w:val="none"/>
        </w:rPr>
      </w:pPr>
    </w:p>
    <w:p w14:paraId="67F4D343">
      <w:pPr>
        <w:pStyle w:val="76"/>
        <w:ind w:firstLine="482"/>
        <w:rPr>
          <w:rFonts w:hint="eastAsia" w:ascii="宋体" w:hAnsi="宋体" w:cs="宋体"/>
          <w:b/>
          <w:bCs/>
          <w:sz w:val="24"/>
          <w:szCs w:val="24"/>
          <w:highlight w:val="none"/>
        </w:rPr>
      </w:pPr>
    </w:p>
    <w:p w14:paraId="20D9DDDB">
      <w:pPr>
        <w:pStyle w:val="76"/>
        <w:ind w:firstLine="482"/>
        <w:rPr>
          <w:rFonts w:hint="eastAsia" w:ascii="宋体" w:hAnsi="宋体" w:cs="宋体"/>
          <w:b/>
          <w:bCs/>
          <w:sz w:val="24"/>
          <w:szCs w:val="24"/>
          <w:highlight w:val="none"/>
        </w:rPr>
      </w:pPr>
    </w:p>
    <w:p w14:paraId="632794D4">
      <w:pPr>
        <w:pStyle w:val="76"/>
        <w:ind w:firstLine="482"/>
        <w:rPr>
          <w:rFonts w:hint="eastAsia" w:ascii="宋体" w:hAnsi="宋体" w:cs="宋体"/>
          <w:b/>
          <w:bCs/>
          <w:sz w:val="24"/>
          <w:szCs w:val="24"/>
          <w:highlight w:val="none"/>
        </w:rPr>
      </w:pPr>
    </w:p>
    <w:p w14:paraId="3ACC8CC0">
      <w:pPr>
        <w:pStyle w:val="76"/>
        <w:ind w:firstLine="482"/>
        <w:rPr>
          <w:rFonts w:hint="eastAsia" w:ascii="宋体" w:hAnsi="宋体" w:cs="宋体"/>
          <w:b/>
          <w:bCs/>
          <w:sz w:val="24"/>
          <w:szCs w:val="24"/>
          <w:highlight w:val="none"/>
        </w:rPr>
      </w:pPr>
    </w:p>
    <w:p w14:paraId="3EC3BBC1">
      <w:pPr>
        <w:pStyle w:val="76"/>
        <w:ind w:firstLine="482"/>
        <w:rPr>
          <w:rFonts w:hint="eastAsia" w:ascii="宋体" w:hAnsi="宋体" w:cs="宋体"/>
          <w:b/>
          <w:bCs/>
          <w:sz w:val="24"/>
          <w:szCs w:val="24"/>
          <w:highlight w:val="none"/>
        </w:rPr>
      </w:pPr>
    </w:p>
    <w:p w14:paraId="45ED9E13">
      <w:pPr>
        <w:pStyle w:val="76"/>
        <w:ind w:firstLine="482"/>
        <w:rPr>
          <w:rFonts w:hint="eastAsia" w:ascii="宋体" w:hAnsi="宋体" w:cs="宋体"/>
          <w:b/>
          <w:bCs/>
          <w:sz w:val="24"/>
          <w:szCs w:val="24"/>
          <w:highlight w:val="none"/>
        </w:rPr>
      </w:pPr>
    </w:p>
    <w:p w14:paraId="291ADA86">
      <w:pPr>
        <w:pStyle w:val="76"/>
        <w:ind w:firstLine="482"/>
        <w:rPr>
          <w:rFonts w:hint="eastAsia" w:ascii="宋体" w:hAnsi="宋体" w:cs="宋体"/>
          <w:b/>
          <w:bCs/>
          <w:sz w:val="24"/>
          <w:szCs w:val="24"/>
          <w:highlight w:val="none"/>
        </w:rPr>
      </w:pPr>
    </w:p>
    <w:p w14:paraId="39A13020">
      <w:pPr>
        <w:pStyle w:val="76"/>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614DBF7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中山市公共交通运输集团有限公司城东汽车修配厂城东车间大型机具设备拆卸、搬迁服务</w:t>
      </w:r>
      <w:r>
        <w:rPr>
          <w:rFonts w:hint="eastAsia" w:ascii="宋体" w:hAnsi="宋体" w:cs="宋体"/>
          <w:bCs/>
          <w:sz w:val="24"/>
          <w:highlight w:val="none"/>
          <w:u w:val="single"/>
        </w:rPr>
        <w:t>（第二次）</w:t>
      </w:r>
      <w:r>
        <w:rPr>
          <w:rFonts w:hint="eastAsia" w:ascii="仿宋_GB2312" w:hAnsi="仿宋_GB2312" w:eastAsia="仿宋_GB2312" w:cs="仿宋_GB2312"/>
          <w:sz w:val="24"/>
          <w:szCs w:val="24"/>
          <w:u w:val="single"/>
          <w:lang w:val="en-US" w:eastAsia="zh-CN"/>
        </w:rPr>
        <w:t xml:space="preserve"> </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p>
    <w:p w14:paraId="0912651C">
      <w:pPr>
        <w:keepNext w:val="0"/>
        <w:keepLines w:val="0"/>
        <w:pageBreakBefore w:val="0"/>
        <w:tabs>
          <w:tab w:val="left" w:pos="900"/>
        </w:tabs>
        <w:kinsoku/>
        <w:wordWrap/>
        <w:overflowPunct/>
        <w:topLinePunct w:val="0"/>
        <w:bidi w:val="0"/>
        <w:spacing w:line="360" w:lineRule="auto"/>
        <w:rPr>
          <w:rFonts w:hint="default" w:ascii="宋体" w:hAnsi="宋体" w:eastAsia="宋体" w:cs="宋体"/>
          <w:bCs/>
          <w:sz w:val="24"/>
          <w:highlight w:val="none"/>
          <w:lang w:val="en-US" w:eastAsia="zh-CN"/>
        </w:rPr>
      </w:pP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4BEB9A32">
      <w:pPr>
        <w:pStyle w:val="2"/>
        <w:ind w:left="0" w:leftChars="0"/>
        <w:rPr>
          <w:rFonts w:hint="eastAsia"/>
          <w:highlight w:val="none"/>
        </w:rPr>
      </w:pPr>
    </w:p>
    <w:p w14:paraId="697C1BF3">
      <w:pPr>
        <w:pStyle w:val="2"/>
        <w:ind w:left="0" w:leftChars="0"/>
        <w:rPr>
          <w:rFonts w:hint="eastAsia"/>
          <w:highlight w:val="none"/>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24"/>
          <w:szCs w:val="24"/>
          <w:highlight w:val="none"/>
        </w:rPr>
      </w:pPr>
      <w:bookmarkStart w:id="20" w:name="_Toc23385"/>
      <w:bookmarkStart w:id="21" w:name="_Toc201"/>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bCs/>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中山市公共交通运输集团有限公司城东汽车修配厂城东车间大型机具设备拆卸、搬迁服务</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第二次</w:t>
      </w:r>
      <w:r>
        <w:rPr>
          <w:rFonts w:hint="eastAsia" w:ascii="宋体" w:hAnsi="宋体" w:eastAsia="宋体" w:cs="宋体"/>
          <w:b/>
          <w:bCs/>
          <w:sz w:val="24"/>
          <w:szCs w:val="24"/>
          <w:lang w:eastAsia="zh-CN"/>
        </w:rPr>
        <w:t>）</w:t>
      </w:r>
    </w:p>
    <w:p w14:paraId="673DD6FE">
      <w:pPr>
        <w:spacing w:line="360" w:lineRule="exact"/>
        <w:rPr>
          <w:rFonts w:hint="eastAsia" w:ascii="宋体" w:hAnsi="宋体"/>
          <w:b/>
          <w:bCs/>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已包含该项目服务需求及范围内的一切税费、工时费、加工费、工具费、运输费、安装费等实施本项目所需的全部费用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40"/>
        <w:rPr>
          <w:rFonts w:hint="eastAsia" w:ascii="宋体" w:hAnsi="宋体"/>
          <w:sz w:val="24"/>
          <w:szCs w:val="24"/>
          <w:highlight w:val="none"/>
        </w:rPr>
      </w:pPr>
    </w:p>
    <w:p w14:paraId="116BB23B">
      <w:pPr>
        <w:pStyle w:val="40"/>
        <w:rPr>
          <w:rFonts w:hint="eastAsia" w:ascii="宋体" w:hAnsi="宋体"/>
          <w:sz w:val="24"/>
          <w:szCs w:val="24"/>
          <w:highlight w:val="none"/>
        </w:rPr>
      </w:pPr>
    </w:p>
    <w:p w14:paraId="69105545">
      <w:pPr>
        <w:pStyle w:val="40"/>
        <w:rPr>
          <w:rFonts w:hint="eastAsia" w:ascii="宋体" w:hAnsi="宋体"/>
          <w:sz w:val="24"/>
          <w:szCs w:val="24"/>
          <w:highlight w:val="none"/>
        </w:rPr>
      </w:pPr>
    </w:p>
    <w:p w14:paraId="73F963CE">
      <w:pPr>
        <w:pStyle w:val="40"/>
        <w:rPr>
          <w:rFonts w:hint="eastAsia" w:ascii="宋体" w:hAnsi="宋体"/>
          <w:sz w:val="24"/>
          <w:szCs w:val="24"/>
          <w:highlight w:val="none"/>
        </w:rPr>
      </w:pPr>
    </w:p>
    <w:p w14:paraId="64E27AC0">
      <w:pPr>
        <w:pStyle w:val="4"/>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eastAsia="宋体" w:cs="宋体"/>
          <w:b/>
          <w:bCs/>
          <w:sz w:val="24"/>
          <w:szCs w:val="24"/>
          <w:highlight w:val="none"/>
          <w:lang w:val="en-US" w:eastAsia="zh-CN"/>
        </w:rPr>
      </w:pPr>
      <w:r>
        <w:rPr>
          <w:rFonts w:hint="eastAsia" w:ascii="宋体" w:hAnsi="宋体"/>
          <w:b/>
          <w:bCs/>
          <w:sz w:val="24"/>
          <w:szCs w:val="24"/>
          <w:highlight w:val="none"/>
        </w:rPr>
        <w:t>项目名称：</w:t>
      </w:r>
      <w:r>
        <w:rPr>
          <w:rFonts w:hint="eastAsia" w:ascii="宋体" w:hAnsi="宋体" w:eastAsia="宋体" w:cs="宋体"/>
          <w:b/>
          <w:bCs/>
          <w:sz w:val="24"/>
          <w:szCs w:val="24"/>
          <w:highlight w:val="none"/>
          <w:lang w:val="en-US" w:eastAsia="zh-CN"/>
        </w:rPr>
        <w:t>中山市公共交通运输集团有限公司城东汽车修配厂城东车间大型机具设备拆卸、搬迁服务</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第二次</w:t>
      </w:r>
      <w:r>
        <w:rPr>
          <w:rFonts w:hint="eastAsia" w:ascii="宋体" w:hAnsi="宋体" w:eastAsia="宋体" w:cs="宋体"/>
          <w:b/>
          <w:bCs/>
          <w:sz w:val="24"/>
          <w:szCs w:val="24"/>
          <w:lang w:eastAsia="zh-CN"/>
        </w:rPr>
        <w:t>）</w:t>
      </w:r>
    </w:p>
    <w:tbl>
      <w:tblPr>
        <w:tblStyle w:val="32"/>
        <w:tblpPr w:leftFromText="180" w:rightFromText="180" w:vertAnchor="text" w:horzAnchor="page" w:tblpX="452" w:tblpY="363"/>
        <w:tblOverlap w:val="never"/>
        <w:tblW w:w="11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209"/>
        <w:gridCol w:w="1309"/>
        <w:gridCol w:w="1105"/>
      </w:tblGrid>
      <w:tr w14:paraId="0D5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54" w:type="dxa"/>
            <w:noWrap w:val="0"/>
            <w:vAlign w:val="center"/>
          </w:tcPr>
          <w:p w14:paraId="217B4449">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8209" w:type="dxa"/>
            <w:noWrap w:val="0"/>
            <w:vAlign w:val="center"/>
          </w:tcPr>
          <w:p w14:paraId="77E79BFE">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309" w:type="dxa"/>
            <w:noWrap w:val="0"/>
            <w:vAlign w:val="center"/>
          </w:tcPr>
          <w:p w14:paraId="0EAE56D8">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105" w:type="dxa"/>
            <w:noWrap w:val="0"/>
            <w:vAlign w:val="center"/>
          </w:tcPr>
          <w:p w14:paraId="77C514F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387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dxa"/>
            <w:noWrap w:val="0"/>
            <w:vAlign w:val="center"/>
          </w:tcPr>
          <w:p w14:paraId="60C908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8209" w:type="dxa"/>
            <w:noWrap w:val="0"/>
            <w:vAlign w:val="center"/>
          </w:tcPr>
          <w:p w14:paraId="1E0F9C5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服务项目及具体要求：详见第二部分《用户需求书》2.1条款。</w:t>
            </w:r>
          </w:p>
        </w:tc>
        <w:tc>
          <w:tcPr>
            <w:tcW w:w="1309" w:type="dxa"/>
            <w:noWrap w:val="0"/>
            <w:vAlign w:val="center"/>
          </w:tcPr>
          <w:p w14:paraId="0989314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6706D6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618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54" w:type="dxa"/>
            <w:noWrap w:val="0"/>
            <w:vAlign w:val="center"/>
          </w:tcPr>
          <w:p w14:paraId="0A65AF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8209" w:type="dxa"/>
            <w:noWrap w:val="0"/>
            <w:vAlign w:val="center"/>
          </w:tcPr>
          <w:p w14:paraId="2161890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中选人为本项目提供的搬迁、拆卸服务技术要求必须符合国家及采购人提出的有关行业质量标准。</w:t>
            </w:r>
          </w:p>
        </w:tc>
        <w:tc>
          <w:tcPr>
            <w:tcW w:w="1309" w:type="dxa"/>
            <w:noWrap w:val="0"/>
            <w:vAlign w:val="center"/>
          </w:tcPr>
          <w:p w14:paraId="074A013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163D6A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36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noWrap w:val="0"/>
            <w:vAlign w:val="center"/>
          </w:tcPr>
          <w:p w14:paraId="180987C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8209" w:type="dxa"/>
            <w:noWrap w:val="0"/>
            <w:vAlign w:val="center"/>
          </w:tcPr>
          <w:p w14:paraId="4554F5D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中选人须严格按照国家有关劳动安全、卫生及环保等方面标准进行现场制作施工，所涉切割、动火人员须持有有效的证件，严格遵守采购人现场安全作业要求实施动火作业。</w:t>
            </w:r>
          </w:p>
        </w:tc>
        <w:tc>
          <w:tcPr>
            <w:tcW w:w="1309" w:type="dxa"/>
            <w:noWrap w:val="0"/>
            <w:vAlign w:val="center"/>
          </w:tcPr>
          <w:p w14:paraId="76EF764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D3A2C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1B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0"/>
            <w:vAlign w:val="center"/>
          </w:tcPr>
          <w:p w14:paraId="42B960F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8209" w:type="dxa"/>
            <w:noWrap w:val="0"/>
            <w:vAlign w:val="center"/>
          </w:tcPr>
          <w:p w14:paraId="6ADAB69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中选人须保证机具设备在运输、安装、调试过程中的设备安全，外观无损坏等瑕疵，结构无脱落、松动等情况。因中选人原因造成的上述材料损坏和由此产生的修复、维修等费用均由中选人承担。</w:t>
            </w:r>
          </w:p>
        </w:tc>
        <w:tc>
          <w:tcPr>
            <w:tcW w:w="1309" w:type="dxa"/>
            <w:noWrap w:val="0"/>
            <w:vAlign w:val="center"/>
          </w:tcPr>
          <w:p w14:paraId="0CDFDD0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7E7712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E9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54" w:type="dxa"/>
            <w:noWrap w:val="0"/>
            <w:vAlign w:val="center"/>
          </w:tcPr>
          <w:p w14:paraId="0823E32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8209" w:type="dxa"/>
            <w:noWrap w:val="0"/>
            <w:vAlign w:val="center"/>
          </w:tcPr>
          <w:p w14:paraId="4FC891C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工期要求：自采购人通知之日15个自然日完成大型机具设备拆卸、搬迁服务工作。因中选人原因造成本项目延期所造成的一切影响或导致采购人遭受的相关损失均由中选人承担。</w:t>
            </w:r>
          </w:p>
        </w:tc>
        <w:tc>
          <w:tcPr>
            <w:tcW w:w="1309" w:type="dxa"/>
            <w:noWrap w:val="0"/>
            <w:vAlign w:val="center"/>
          </w:tcPr>
          <w:p w14:paraId="38C5DB7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C2A68B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1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noWrap w:val="0"/>
            <w:vAlign w:val="center"/>
          </w:tcPr>
          <w:p w14:paraId="5224863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8209" w:type="dxa"/>
            <w:noWrap w:val="0"/>
            <w:vAlign w:val="center"/>
          </w:tcPr>
          <w:p w14:paraId="127D5DB4">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服务验收：中选人完成服务后，由采购人组织验收。验收过程中，采购人发现质量问题的，在3日内向中选人提出，中选人应自采购人提出问题之日起3日内回复，维修和整改并承担由此产生的费用，维修和整改完毕之日起5日内安排采购人验收。如未按时回复、维修和完成整改，采购人有权拒收。如验收合格，采购人出具验收报告，作为项目付款依据。</w:t>
            </w:r>
          </w:p>
        </w:tc>
        <w:tc>
          <w:tcPr>
            <w:tcW w:w="1309" w:type="dxa"/>
            <w:noWrap w:val="0"/>
            <w:vAlign w:val="center"/>
          </w:tcPr>
          <w:p w14:paraId="728963C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45562B9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072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4" w:type="dxa"/>
            <w:noWrap w:val="0"/>
            <w:vAlign w:val="center"/>
          </w:tcPr>
          <w:p w14:paraId="5B91742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w:t>
            </w:r>
          </w:p>
        </w:tc>
        <w:tc>
          <w:tcPr>
            <w:tcW w:w="8209" w:type="dxa"/>
            <w:noWrap w:val="0"/>
            <w:vAlign w:val="center"/>
          </w:tcPr>
          <w:p w14:paraId="3C835480">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付款方式：验收之日起15日内，中选人按照国家相关法律规定和相应行业要求来开具相应税点的增值税专用发票并将发票提供给采购人，采购人收到增值税发票后，应在15个工作日内向中选人以银行汇款转账形式支付服务费应付款的100%。</w:t>
            </w:r>
          </w:p>
        </w:tc>
        <w:tc>
          <w:tcPr>
            <w:tcW w:w="1309" w:type="dxa"/>
            <w:noWrap w:val="0"/>
            <w:vAlign w:val="center"/>
          </w:tcPr>
          <w:p w14:paraId="7098446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737A6F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7F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54" w:type="dxa"/>
            <w:noWrap w:val="0"/>
            <w:vAlign w:val="center"/>
          </w:tcPr>
          <w:p w14:paraId="3152321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w:t>
            </w:r>
          </w:p>
        </w:tc>
        <w:tc>
          <w:tcPr>
            <w:tcW w:w="8209" w:type="dxa"/>
            <w:noWrap w:val="0"/>
            <w:vAlign w:val="center"/>
          </w:tcPr>
          <w:p w14:paraId="05B5E57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完全理解并接受对参评服务商的各项须知、规约要求和责任义务。</w:t>
            </w:r>
          </w:p>
        </w:tc>
        <w:tc>
          <w:tcPr>
            <w:tcW w:w="1309" w:type="dxa"/>
            <w:noWrap w:val="0"/>
            <w:vAlign w:val="center"/>
          </w:tcPr>
          <w:p w14:paraId="5F156DA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505E1F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14:paraId="13D66E1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w:t>
            </w:r>
          </w:p>
        </w:tc>
        <w:tc>
          <w:tcPr>
            <w:tcW w:w="8209" w:type="dxa"/>
            <w:noWrap w:val="0"/>
            <w:vAlign w:val="center"/>
          </w:tcPr>
          <w:p w14:paraId="0D39560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309" w:type="dxa"/>
            <w:noWrap w:val="0"/>
            <w:vAlign w:val="center"/>
          </w:tcPr>
          <w:p w14:paraId="13645A1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F899B6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0"/>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w:t>
      </w:r>
      <w:r>
        <w:rPr>
          <w:rFonts w:hint="eastAsia" w:ascii="宋体" w:hAnsi="宋体" w:eastAsia="宋体" w:cs="Times New Roman"/>
          <w:b/>
          <w:bCs/>
          <w:kern w:val="2"/>
          <w:sz w:val="28"/>
          <w:szCs w:val="28"/>
          <w:highlight w:val="none"/>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0"/>
        <w:spacing w:line="360" w:lineRule="auto"/>
        <w:rPr>
          <w:rFonts w:hint="eastAsia" w:ascii="宋体" w:hAnsi="宋体"/>
          <w:sz w:val="24"/>
          <w:szCs w:val="24"/>
          <w:highlight w:val="none"/>
        </w:rPr>
      </w:pPr>
    </w:p>
    <w:p w14:paraId="0F7CAD8B">
      <w:pPr>
        <w:pStyle w:val="40"/>
        <w:spacing w:line="360" w:lineRule="auto"/>
        <w:rPr>
          <w:rFonts w:hint="eastAsia" w:ascii="宋体" w:hAnsi="宋体"/>
          <w:sz w:val="24"/>
          <w:szCs w:val="24"/>
          <w:highlight w:val="none"/>
        </w:rPr>
      </w:pPr>
    </w:p>
    <w:p w14:paraId="55926F87">
      <w:pPr>
        <w:pStyle w:val="40"/>
        <w:spacing w:line="360" w:lineRule="auto"/>
        <w:rPr>
          <w:rFonts w:hint="eastAsia" w:ascii="宋体" w:hAnsi="宋体"/>
          <w:sz w:val="24"/>
          <w:szCs w:val="24"/>
          <w:highlight w:val="none"/>
        </w:rPr>
      </w:pPr>
    </w:p>
    <w:p w14:paraId="6D244FB8">
      <w:pPr>
        <w:pStyle w:val="40"/>
        <w:spacing w:line="360" w:lineRule="auto"/>
        <w:rPr>
          <w:rFonts w:hint="eastAsia" w:ascii="宋体" w:hAnsi="宋体"/>
          <w:sz w:val="24"/>
          <w:szCs w:val="24"/>
          <w:highlight w:val="none"/>
        </w:rPr>
      </w:pPr>
    </w:p>
    <w:p w14:paraId="13CD52A4">
      <w:pPr>
        <w:pStyle w:val="40"/>
        <w:spacing w:line="360" w:lineRule="auto"/>
        <w:rPr>
          <w:rFonts w:hint="eastAsia" w:ascii="宋体" w:hAnsi="宋体"/>
          <w:sz w:val="24"/>
          <w:szCs w:val="24"/>
          <w:highlight w:val="none"/>
        </w:rPr>
      </w:pPr>
    </w:p>
    <w:p w14:paraId="7755C88D">
      <w:pPr>
        <w:pStyle w:val="40"/>
        <w:spacing w:line="360" w:lineRule="auto"/>
        <w:rPr>
          <w:rFonts w:hint="eastAsia" w:ascii="宋体" w:hAnsi="宋体"/>
          <w:sz w:val="24"/>
          <w:szCs w:val="24"/>
          <w:highlight w:val="none"/>
        </w:rPr>
      </w:pPr>
    </w:p>
    <w:p w14:paraId="496AE838">
      <w:pPr>
        <w:pStyle w:val="40"/>
        <w:spacing w:line="360" w:lineRule="auto"/>
        <w:rPr>
          <w:rFonts w:hint="eastAsia" w:ascii="宋体" w:hAnsi="宋体"/>
          <w:sz w:val="24"/>
          <w:szCs w:val="24"/>
          <w:highlight w:val="none"/>
        </w:rPr>
      </w:pPr>
    </w:p>
    <w:p w14:paraId="2795B8CA">
      <w:pPr>
        <w:pStyle w:val="40"/>
        <w:spacing w:line="360" w:lineRule="auto"/>
        <w:rPr>
          <w:rFonts w:hint="eastAsia" w:ascii="宋体" w:hAnsi="宋体"/>
          <w:sz w:val="24"/>
          <w:szCs w:val="24"/>
          <w:highlight w:val="none"/>
        </w:rPr>
      </w:pPr>
    </w:p>
    <w:p w14:paraId="1A35ECA3">
      <w:pPr>
        <w:pStyle w:val="40"/>
        <w:spacing w:line="360" w:lineRule="auto"/>
        <w:rPr>
          <w:rFonts w:hint="eastAsia" w:ascii="宋体" w:hAnsi="宋体"/>
          <w:sz w:val="24"/>
          <w:szCs w:val="24"/>
          <w:highlight w:val="none"/>
        </w:rPr>
      </w:pPr>
    </w:p>
    <w:p w14:paraId="022F964C">
      <w:pPr>
        <w:pStyle w:val="40"/>
        <w:spacing w:line="360" w:lineRule="auto"/>
        <w:rPr>
          <w:rFonts w:hint="eastAsia" w:ascii="宋体" w:hAnsi="宋体"/>
          <w:sz w:val="24"/>
          <w:szCs w:val="24"/>
          <w:highlight w:val="none"/>
        </w:rPr>
      </w:pPr>
    </w:p>
    <w:p w14:paraId="70EF383A">
      <w:pPr>
        <w:pStyle w:val="40"/>
        <w:spacing w:line="360" w:lineRule="auto"/>
        <w:rPr>
          <w:rFonts w:hint="eastAsia" w:ascii="宋体" w:hAnsi="宋体"/>
          <w:sz w:val="24"/>
          <w:szCs w:val="24"/>
          <w:highlight w:val="none"/>
        </w:rPr>
      </w:pPr>
    </w:p>
    <w:p w14:paraId="5B76B301">
      <w:pPr>
        <w:pStyle w:val="40"/>
        <w:spacing w:line="360" w:lineRule="auto"/>
        <w:rPr>
          <w:rFonts w:hint="eastAsia" w:ascii="宋体" w:hAnsi="宋体"/>
          <w:sz w:val="24"/>
          <w:szCs w:val="24"/>
          <w:highlight w:val="none"/>
        </w:rPr>
      </w:pPr>
    </w:p>
    <w:p w14:paraId="51BBEAC8">
      <w:pPr>
        <w:pStyle w:val="40"/>
        <w:spacing w:line="360" w:lineRule="auto"/>
        <w:rPr>
          <w:rFonts w:hint="eastAsia" w:ascii="宋体" w:hAnsi="宋体"/>
          <w:sz w:val="24"/>
          <w:szCs w:val="24"/>
          <w:highlight w:val="none"/>
        </w:rPr>
      </w:pPr>
    </w:p>
    <w:p w14:paraId="0994046C">
      <w:pPr>
        <w:pStyle w:val="40"/>
        <w:spacing w:line="360" w:lineRule="auto"/>
        <w:rPr>
          <w:rFonts w:hint="eastAsia" w:ascii="宋体" w:hAnsi="宋体"/>
          <w:sz w:val="24"/>
          <w:szCs w:val="24"/>
          <w:highlight w:val="none"/>
        </w:rPr>
      </w:pPr>
    </w:p>
    <w:p w14:paraId="6A0F6504">
      <w:pPr>
        <w:pStyle w:val="40"/>
        <w:spacing w:line="360" w:lineRule="auto"/>
        <w:rPr>
          <w:rFonts w:hint="eastAsia" w:ascii="宋体" w:hAnsi="宋体"/>
          <w:sz w:val="24"/>
          <w:szCs w:val="24"/>
          <w:highlight w:val="none"/>
        </w:rPr>
      </w:pPr>
    </w:p>
    <w:p w14:paraId="6F11895A">
      <w:pPr>
        <w:pStyle w:val="40"/>
        <w:spacing w:line="360" w:lineRule="auto"/>
        <w:rPr>
          <w:rFonts w:hint="eastAsia" w:ascii="宋体" w:hAnsi="宋体"/>
          <w:sz w:val="24"/>
          <w:szCs w:val="24"/>
          <w:highlight w:val="none"/>
        </w:rPr>
      </w:pPr>
    </w:p>
    <w:p w14:paraId="60D911CC">
      <w:pPr>
        <w:pStyle w:val="40"/>
        <w:spacing w:line="360" w:lineRule="auto"/>
        <w:rPr>
          <w:rFonts w:hint="eastAsia" w:ascii="宋体" w:hAnsi="宋体"/>
          <w:sz w:val="24"/>
          <w:szCs w:val="24"/>
          <w:highlight w:val="none"/>
        </w:rPr>
      </w:pPr>
    </w:p>
    <w:p w14:paraId="52455141">
      <w:pPr>
        <w:pStyle w:val="40"/>
        <w:spacing w:line="360" w:lineRule="auto"/>
        <w:rPr>
          <w:rFonts w:hint="eastAsia" w:ascii="宋体" w:hAnsi="宋体"/>
          <w:sz w:val="24"/>
          <w:szCs w:val="24"/>
          <w:highlight w:val="none"/>
        </w:rPr>
      </w:pPr>
    </w:p>
    <w:p w14:paraId="5688DE0B">
      <w:pPr>
        <w:pStyle w:val="40"/>
        <w:spacing w:line="360" w:lineRule="auto"/>
        <w:rPr>
          <w:rFonts w:hint="eastAsia" w:ascii="宋体" w:hAnsi="宋体"/>
          <w:sz w:val="24"/>
          <w:szCs w:val="24"/>
          <w:highlight w:val="none"/>
        </w:rPr>
      </w:pPr>
    </w:p>
    <w:p w14:paraId="1D6058EF">
      <w:pPr>
        <w:pStyle w:val="40"/>
        <w:spacing w:line="360" w:lineRule="auto"/>
        <w:rPr>
          <w:rFonts w:hint="eastAsia" w:ascii="宋体" w:hAnsi="宋体"/>
          <w:sz w:val="24"/>
          <w:szCs w:val="24"/>
          <w:highlight w:val="none"/>
        </w:rPr>
      </w:pPr>
    </w:p>
    <w:p w14:paraId="66CC1EFC">
      <w:pPr>
        <w:pStyle w:val="40"/>
        <w:spacing w:line="360" w:lineRule="auto"/>
        <w:rPr>
          <w:rFonts w:hint="eastAsia" w:ascii="宋体" w:hAnsi="宋体"/>
          <w:sz w:val="24"/>
          <w:szCs w:val="24"/>
          <w:highlight w:val="none"/>
        </w:rPr>
      </w:pPr>
    </w:p>
    <w:p w14:paraId="7580F8C9">
      <w:pPr>
        <w:pStyle w:val="40"/>
        <w:spacing w:line="360" w:lineRule="auto"/>
        <w:rPr>
          <w:rFonts w:hint="eastAsia" w:ascii="宋体" w:hAnsi="宋体"/>
          <w:sz w:val="24"/>
          <w:szCs w:val="24"/>
          <w:highlight w:val="none"/>
        </w:rPr>
      </w:pPr>
    </w:p>
    <w:p w14:paraId="261E0424">
      <w:pPr>
        <w:pStyle w:val="40"/>
        <w:spacing w:line="360" w:lineRule="auto"/>
        <w:rPr>
          <w:rFonts w:hint="eastAsia" w:ascii="宋体" w:hAnsi="宋体"/>
          <w:sz w:val="24"/>
          <w:szCs w:val="24"/>
          <w:highlight w:val="none"/>
        </w:rPr>
      </w:pPr>
    </w:p>
    <w:p w14:paraId="355B33EC">
      <w:pPr>
        <w:pStyle w:val="40"/>
        <w:spacing w:line="360" w:lineRule="auto"/>
        <w:rPr>
          <w:rFonts w:hint="eastAsia" w:ascii="宋体" w:hAnsi="宋体"/>
          <w:sz w:val="24"/>
          <w:szCs w:val="24"/>
          <w:highlight w:val="none"/>
        </w:rPr>
      </w:pPr>
    </w:p>
    <w:p w14:paraId="2304090F">
      <w:pPr>
        <w:pStyle w:val="40"/>
        <w:spacing w:line="360" w:lineRule="auto"/>
        <w:rPr>
          <w:rFonts w:hint="eastAsia" w:ascii="宋体" w:hAnsi="宋体"/>
          <w:sz w:val="24"/>
          <w:szCs w:val="24"/>
          <w:highlight w:val="none"/>
        </w:rPr>
      </w:pPr>
    </w:p>
    <w:p w14:paraId="0B870237">
      <w:pPr>
        <w:pStyle w:val="40"/>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E34124D"/>
    <w:multiLevelType w:val="singleLevel"/>
    <w:tmpl w:val="6E34124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3B7BEA"/>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54AB6"/>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514117"/>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53DDC"/>
    <w:rsid w:val="0D1D57DC"/>
    <w:rsid w:val="0D1E7B48"/>
    <w:rsid w:val="0D277310"/>
    <w:rsid w:val="0D5200A9"/>
    <w:rsid w:val="0D5B02E4"/>
    <w:rsid w:val="0D601F82"/>
    <w:rsid w:val="0D645222"/>
    <w:rsid w:val="0D734087"/>
    <w:rsid w:val="0D9711B2"/>
    <w:rsid w:val="0DCB4048"/>
    <w:rsid w:val="0DDA5B01"/>
    <w:rsid w:val="0DEE6A20"/>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2B28FC"/>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DC3D56"/>
    <w:rsid w:val="1EE02710"/>
    <w:rsid w:val="1F1A719F"/>
    <w:rsid w:val="1F1B1D40"/>
    <w:rsid w:val="1F1C3EE6"/>
    <w:rsid w:val="1F4F1119"/>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E81E5A"/>
    <w:rsid w:val="33EC7AFA"/>
    <w:rsid w:val="33F37670"/>
    <w:rsid w:val="33F578E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BE26CAA"/>
    <w:rsid w:val="3C234D80"/>
    <w:rsid w:val="3C3C5899"/>
    <w:rsid w:val="3C42681F"/>
    <w:rsid w:val="3C4A29BE"/>
    <w:rsid w:val="3C8C7E74"/>
    <w:rsid w:val="3CBD5CA6"/>
    <w:rsid w:val="3CC70BBF"/>
    <w:rsid w:val="3CCC5131"/>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45001B"/>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9461F"/>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553E21"/>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3D1EF1"/>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85E78"/>
    <w:rsid w:val="600A528D"/>
    <w:rsid w:val="602A462E"/>
    <w:rsid w:val="6030100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86074F"/>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725314"/>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824DE"/>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3342E6"/>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4"/>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table of authorities1"/>
    <w:basedOn w:val="1"/>
    <w:next w:val="1"/>
    <w:qFormat/>
    <w:uiPriority w:val="0"/>
    <w:pPr>
      <w:ind w:left="420" w:leftChars="200"/>
    </w:p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Char"/>
    <w:link w:val="10"/>
    <w:qFormat/>
    <w:uiPriority w:val="0"/>
    <w:rPr>
      <w:rFonts w:ascii="宋体"/>
      <w:kern w:val="2"/>
      <w:sz w:val="24"/>
      <w:szCs w:val="24"/>
    </w:rPr>
  </w:style>
  <w:style w:type="character" w:customStyle="1" w:styleId="42">
    <w:name w:val="批注文字 Char"/>
    <w:link w:val="11"/>
    <w:qFormat/>
    <w:uiPriority w:val="99"/>
    <w:rPr>
      <w:sz w:val="21"/>
    </w:rPr>
  </w:style>
  <w:style w:type="character" w:customStyle="1" w:styleId="43">
    <w:name w:val="批注框文本 Char"/>
    <w:link w:val="19"/>
    <w:qFormat/>
    <w:uiPriority w:val="0"/>
    <w:rPr>
      <w:kern w:val="2"/>
      <w:sz w:val="18"/>
      <w:szCs w:val="18"/>
    </w:rPr>
  </w:style>
  <w:style w:type="character" w:customStyle="1" w:styleId="44">
    <w:name w:val="批注主题 Char"/>
    <w:link w:val="2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3361</Words>
  <Characters>3529</Characters>
  <Lines>495</Lines>
  <Paragraphs>139</Paragraphs>
  <TotalTime>870</TotalTime>
  <ScaleCrop>false</ScaleCrop>
  <LinksUpToDate>false</LinksUpToDate>
  <CharactersWithSpaces>3549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陈南圭</cp:lastModifiedBy>
  <cp:lastPrinted>2022-10-28T06:34:00Z</cp:lastPrinted>
  <dcterms:modified xsi:type="dcterms:W3CDTF">2025-12-01T04:30:34Z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ECCD8154BBA54DE6944D9167DAEE494E_13</vt:lpwstr>
  </property>
  <property fmtid="{D5CDD505-2E9C-101B-9397-08002B2CF9AE}" pid="4" name="KSOTemplateDocerSaveRecord">
    <vt:lpwstr>eyJoZGlkIjoiNWEwYjJkMWQwNjA3YjE0OGQ2YThkMjFjZjBkODY4OGUiLCJ1c2VySWQiOiI1MDA4Nzg5NjYifQ==</vt:lpwstr>
  </property>
</Properties>
</file>