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62724">
      <w:pPr>
        <w:tabs>
          <w:tab w:val="left" w:pos="420"/>
          <w:tab w:val="left" w:pos="6660"/>
        </w:tabs>
        <w:jc w:val="center"/>
        <w:rPr>
          <w:rFonts w:hint="eastAsia" w:ascii="宋体" w:hAnsi="宋体" w:eastAsia="宋体" w:cs="宋体"/>
          <w:b/>
          <w:sz w:val="32"/>
          <w:szCs w:val="32"/>
        </w:rPr>
      </w:pPr>
    </w:p>
    <w:p w14:paraId="185C48D8">
      <w:pPr>
        <w:pStyle w:val="11"/>
        <w:adjustRightInd w:val="0"/>
        <w:snapToGrid w:val="0"/>
        <w:spacing w:line="360" w:lineRule="auto"/>
        <w:jc w:val="center"/>
        <w:rPr>
          <w:rFonts w:hint="eastAsia" w:hAnsi="宋体" w:eastAsia="宋体" w:cs="宋体"/>
          <w:b/>
          <w:sz w:val="44"/>
          <w:szCs w:val="44"/>
          <w:lang w:val="zh-CN"/>
        </w:rPr>
      </w:pPr>
    </w:p>
    <w:p w14:paraId="1677FAB3">
      <w:pPr>
        <w:widowControl/>
        <w:tabs>
          <w:tab w:val="left" w:pos="567"/>
        </w:tabs>
        <w:autoSpaceDE w:val="0"/>
        <w:autoSpaceDN w:val="0"/>
        <w:jc w:val="center"/>
        <w:textAlignment w:val="bottom"/>
        <w:rPr>
          <w:rFonts w:hint="eastAsia" w:ascii="宋体" w:hAnsi="宋体" w:eastAsia="宋体" w:cs="宋体"/>
          <w:b w:val="0"/>
          <w:sz w:val="96"/>
          <w:szCs w:val="28"/>
          <w:lang w:val="zh-CN"/>
        </w:rPr>
      </w:pPr>
    </w:p>
    <w:p w14:paraId="6C61C7AB">
      <w:pPr>
        <w:keepNext w:val="0"/>
        <w:keepLines w:val="0"/>
        <w:pageBreakBefore w:val="0"/>
        <w:kinsoku/>
        <w:wordWrap/>
        <w:overflowPunct/>
        <w:topLinePunct w:val="0"/>
        <w:bidi w:val="0"/>
        <w:adjustRightInd/>
        <w:snapToGrid/>
        <w:spacing w:line="560" w:lineRule="exact"/>
        <w:jc w:val="center"/>
        <w:rPr>
          <w:rFonts w:hint="eastAsia" w:ascii="宋体" w:hAnsi="宋体" w:eastAsia="宋体" w:cs="宋体"/>
          <w:b/>
          <w:color w:val="auto"/>
          <w:kern w:val="0"/>
          <w:sz w:val="44"/>
          <w:szCs w:val="44"/>
          <w:highlight w:val="none"/>
          <w:lang w:val="en-US" w:eastAsia="zh-CN" w:bidi="ar-SA"/>
        </w:rPr>
      </w:pPr>
      <w:bookmarkStart w:id="0" w:name="_Toc13975"/>
      <w:bookmarkStart w:id="1" w:name="_Toc29636"/>
      <w:r>
        <w:rPr>
          <w:rFonts w:hint="eastAsia" w:ascii="宋体" w:hAnsi="宋体" w:eastAsia="宋体" w:cs="宋体"/>
          <w:b/>
          <w:color w:val="auto"/>
          <w:kern w:val="0"/>
          <w:sz w:val="44"/>
          <w:szCs w:val="44"/>
          <w:highlight w:val="none"/>
          <w:lang w:val="en-US" w:eastAsia="zh-CN" w:bidi="ar-SA"/>
        </w:rPr>
        <w:t>中山市公共交通运输集团有限公司</w:t>
      </w:r>
    </w:p>
    <w:p w14:paraId="1A2B75DB">
      <w:pPr>
        <w:keepNext w:val="0"/>
        <w:keepLines w:val="0"/>
        <w:pageBreakBefore w:val="0"/>
        <w:kinsoku/>
        <w:wordWrap/>
        <w:overflowPunct/>
        <w:topLinePunct w:val="0"/>
        <w:bidi w:val="0"/>
        <w:adjustRightInd/>
        <w:snapToGrid/>
        <w:spacing w:line="560" w:lineRule="exact"/>
        <w:jc w:val="center"/>
        <w:rPr>
          <w:rFonts w:hint="eastAsia" w:ascii="宋体" w:hAnsi="宋体" w:eastAsia="宋体" w:cs="宋体"/>
          <w:b/>
          <w:color w:val="auto"/>
          <w:kern w:val="0"/>
          <w:sz w:val="44"/>
          <w:szCs w:val="44"/>
          <w:highlight w:val="none"/>
          <w:lang w:val="en-US" w:eastAsia="zh-CN" w:bidi="ar-SA"/>
        </w:rPr>
      </w:pPr>
      <w:r>
        <w:rPr>
          <w:rFonts w:hint="eastAsia" w:ascii="宋体" w:hAnsi="宋体" w:eastAsia="宋体" w:cs="宋体"/>
          <w:b/>
          <w:color w:val="auto"/>
          <w:kern w:val="0"/>
          <w:sz w:val="44"/>
          <w:szCs w:val="44"/>
          <w:highlight w:val="none"/>
          <w:lang w:val="en-US" w:eastAsia="zh-CN" w:bidi="ar-SA"/>
        </w:rPr>
        <w:t>市场化板块子公司人才激励</w:t>
      </w:r>
    </w:p>
    <w:p w14:paraId="098326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0"/>
          <w:sz w:val="44"/>
          <w:szCs w:val="44"/>
          <w:highlight w:val="none"/>
          <w:lang w:val="en-US" w:eastAsia="zh-CN" w:bidi="ar-SA"/>
        </w:rPr>
      </w:pPr>
      <w:r>
        <w:rPr>
          <w:rFonts w:hint="eastAsia" w:ascii="宋体" w:hAnsi="宋体" w:eastAsia="宋体" w:cs="宋体"/>
          <w:b/>
          <w:color w:val="auto"/>
          <w:kern w:val="0"/>
          <w:sz w:val="44"/>
          <w:szCs w:val="44"/>
          <w:highlight w:val="none"/>
          <w:lang w:val="en-US" w:eastAsia="zh-CN" w:bidi="ar-SA"/>
        </w:rPr>
        <w:t>约束机制优化咨询项目</w:t>
      </w:r>
    </w:p>
    <w:p w14:paraId="58187C75">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r>
        <w:rPr>
          <w:rFonts w:hint="eastAsia" w:ascii="宋体" w:hAnsi="宋体" w:cs="宋体"/>
          <w:b/>
          <w:sz w:val="44"/>
          <w:szCs w:val="44"/>
          <w:highlight w:val="none"/>
          <w:lang w:eastAsia="zh-CN"/>
        </w:rPr>
        <w:t>（</w:t>
      </w:r>
      <w:r>
        <w:rPr>
          <w:rFonts w:hint="eastAsia" w:ascii="宋体" w:hAnsi="宋体" w:cs="宋体"/>
          <w:b/>
          <w:sz w:val="44"/>
          <w:szCs w:val="44"/>
          <w:highlight w:val="none"/>
          <w:lang w:val="en-US" w:eastAsia="zh-CN"/>
        </w:rPr>
        <w:t>第二次</w:t>
      </w:r>
      <w:r>
        <w:rPr>
          <w:rFonts w:hint="eastAsia" w:ascii="宋体" w:hAnsi="宋体" w:cs="宋体"/>
          <w:b/>
          <w:sz w:val="44"/>
          <w:szCs w:val="44"/>
          <w:highlight w:val="none"/>
          <w:lang w:eastAsia="zh-CN"/>
        </w:rPr>
        <w:t>）</w:t>
      </w:r>
      <w:r>
        <w:rPr>
          <w:rFonts w:hint="eastAsia" w:ascii="宋体" w:hAnsi="宋体" w:cs="宋体"/>
          <w:b/>
          <w:sz w:val="44"/>
          <w:szCs w:val="44"/>
          <w:highlight w:val="none"/>
        </w:rPr>
        <w:t xml:space="preserve"> </w:t>
      </w:r>
    </w:p>
    <w:p w14:paraId="1EBEBE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0"/>
          <w:sz w:val="44"/>
          <w:szCs w:val="44"/>
          <w:highlight w:val="none"/>
          <w:lang w:val="en-US" w:eastAsia="zh-CN" w:bidi="ar-SA"/>
        </w:rPr>
      </w:pPr>
    </w:p>
    <w:p w14:paraId="17A5BCA2">
      <w:pPr>
        <w:widowControl/>
        <w:tabs>
          <w:tab w:val="left" w:pos="567"/>
        </w:tabs>
        <w:autoSpaceDE w:val="0"/>
        <w:autoSpaceDN w:val="0"/>
        <w:jc w:val="center"/>
        <w:textAlignment w:val="bottom"/>
        <w:rPr>
          <w:rFonts w:hint="eastAsia" w:ascii="宋体" w:hAnsi="宋体" w:eastAsia="宋体" w:cs="宋体"/>
          <w:sz w:val="96"/>
          <w:szCs w:val="28"/>
        </w:rPr>
      </w:pPr>
    </w:p>
    <w:p w14:paraId="00BFEA75">
      <w:pPr>
        <w:widowControl/>
        <w:tabs>
          <w:tab w:val="left" w:pos="567"/>
        </w:tabs>
        <w:autoSpaceDE w:val="0"/>
        <w:autoSpaceDN w:val="0"/>
        <w:jc w:val="center"/>
        <w:textAlignment w:val="bottom"/>
        <w:rPr>
          <w:rFonts w:hint="eastAsia" w:ascii="宋体" w:hAnsi="宋体" w:eastAsia="宋体" w:cs="宋体"/>
          <w:sz w:val="96"/>
          <w:szCs w:val="28"/>
        </w:rPr>
      </w:pPr>
      <w:r>
        <w:rPr>
          <w:rFonts w:hint="eastAsia" w:ascii="宋体" w:hAnsi="宋体" w:eastAsia="宋体" w:cs="宋体"/>
          <w:sz w:val="96"/>
          <w:szCs w:val="28"/>
        </w:rPr>
        <w:t>采购文件</w:t>
      </w:r>
    </w:p>
    <w:bookmarkEnd w:id="0"/>
    <w:bookmarkEnd w:id="1"/>
    <w:p w14:paraId="71670605">
      <w:pPr>
        <w:pStyle w:val="11"/>
        <w:adjustRightInd w:val="0"/>
        <w:snapToGrid w:val="0"/>
        <w:spacing w:line="360" w:lineRule="auto"/>
        <w:jc w:val="center"/>
        <w:outlineLvl w:val="0"/>
        <w:rPr>
          <w:rFonts w:hint="eastAsia" w:hAnsi="宋体" w:eastAsia="宋体" w:cs="宋体"/>
          <w:b/>
          <w:sz w:val="44"/>
          <w:szCs w:val="44"/>
          <w:lang w:val="zh-CN"/>
        </w:rPr>
      </w:pPr>
    </w:p>
    <w:p w14:paraId="1910B892">
      <w:pPr>
        <w:pStyle w:val="11"/>
        <w:adjustRightInd w:val="0"/>
        <w:snapToGrid w:val="0"/>
        <w:spacing w:line="360" w:lineRule="auto"/>
        <w:jc w:val="center"/>
        <w:outlineLvl w:val="0"/>
        <w:rPr>
          <w:rFonts w:hint="eastAsia" w:hAnsi="宋体" w:eastAsia="宋体" w:cs="宋体"/>
          <w:b/>
          <w:sz w:val="44"/>
          <w:szCs w:val="44"/>
          <w:lang w:val="zh-CN"/>
        </w:rPr>
      </w:pPr>
    </w:p>
    <w:p w14:paraId="1CE0EDE4">
      <w:pPr>
        <w:pStyle w:val="11"/>
        <w:adjustRightInd w:val="0"/>
        <w:snapToGrid w:val="0"/>
        <w:spacing w:line="360" w:lineRule="auto"/>
        <w:jc w:val="center"/>
        <w:outlineLvl w:val="0"/>
        <w:rPr>
          <w:rFonts w:hint="eastAsia" w:hAnsi="宋体" w:eastAsia="宋体" w:cs="宋体"/>
          <w:b/>
          <w:sz w:val="44"/>
          <w:szCs w:val="44"/>
          <w:lang w:val="zh-CN"/>
        </w:rPr>
      </w:pPr>
    </w:p>
    <w:p w14:paraId="7D68F692">
      <w:pPr>
        <w:pStyle w:val="11"/>
        <w:adjustRightInd w:val="0"/>
        <w:snapToGrid w:val="0"/>
        <w:spacing w:line="360" w:lineRule="auto"/>
        <w:jc w:val="center"/>
        <w:outlineLvl w:val="0"/>
        <w:rPr>
          <w:rFonts w:hint="eastAsia" w:hAnsi="宋体" w:eastAsia="宋体" w:cs="宋体"/>
          <w:b/>
          <w:sz w:val="44"/>
          <w:szCs w:val="44"/>
          <w:lang w:val="zh-CN"/>
        </w:rPr>
      </w:pPr>
    </w:p>
    <w:p w14:paraId="4285485E">
      <w:pPr>
        <w:pStyle w:val="11"/>
        <w:adjustRightInd w:val="0"/>
        <w:snapToGrid w:val="0"/>
        <w:spacing w:line="360" w:lineRule="auto"/>
        <w:jc w:val="center"/>
        <w:outlineLvl w:val="0"/>
        <w:rPr>
          <w:rFonts w:hint="eastAsia" w:hAnsi="宋体" w:eastAsia="宋体" w:cs="宋体"/>
          <w:sz w:val="32"/>
          <w:szCs w:val="32"/>
        </w:rPr>
      </w:pPr>
    </w:p>
    <w:p w14:paraId="1F120CEF">
      <w:pPr>
        <w:pStyle w:val="11"/>
        <w:adjustRightInd w:val="0"/>
        <w:snapToGrid w:val="0"/>
        <w:spacing w:line="360" w:lineRule="auto"/>
        <w:jc w:val="center"/>
        <w:outlineLvl w:val="0"/>
        <w:rPr>
          <w:rFonts w:hint="eastAsia" w:hAnsi="宋体" w:eastAsia="宋体" w:cs="宋体"/>
          <w:sz w:val="32"/>
          <w:szCs w:val="32"/>
        </w:rPr>
      </w:pPr>
    </w:p>
    <w:p w14:paraId="58C4671B">
      <w:pPr>
        <w:pStyle w:val="11"/>
        <w:adjustRightInd w:val="0"/>
        <w:snapToGrid w:val="0"/>
        <w:spacing w:line="360" w:lineRule="auto"/>
        <w:jc w:val="center"/>
        <w:outlineLvl w:val="0"/>
        <w:rPr>
          <w:rFonts w:hint="eastAsia" w:hAnsi="宋体" w:eastAsia="宋体" w:cs="宋体"/>
          <w:sz w:val="32"/>
          <w:szCs w:val="32"/>
        </w:rPr>
      </w:pPr>
    </w:p>
    <w:p w14:paraId="017D6833">
      <w:pPr>
        <w:pStyle w:val="11"/>
        <w:adjustRightInd w:val="0"/>
        <w:snapToGrid w:val="0"/>
        <w:spacing w:line="360" w:lineRule="auto"/>
        <w:jc w:val="center"/>
        <w:outlineLvl w:val="0"/>
        <w:rPr>
          <w:rFonts w:hint="eastAsia" w:hAnsi="宋体" w:eastAsia="宋体" w:cs="宋体"/>
          <w:sz w:val="32"/>
          <w:szCs w:val="32"/>
        </w:rPr>
      </w:pPr>
      <w:r>
        <w:rPr>
          <w:rFonts w:hint="eastAsia" w:hAnsi="宋体" w:eastAsia="宋体" w:cs="宋体"/>
          <w:sz w:val="32"/>
          <w:szCs w:val="32"/>
        </w:rPr>
        <w:t>中山市公共交通运输集团有限公司</w:t>
      </w:r>
    </w:p>
    <w:p w14:paraId="64E3D759">
      <w:pPr>
        <w:jc w:val="center"/>
        <w:rPr>
          <w:rFonts w:hint="eastAsia" w:hAnsi="宋体" w:eastAsia="宋体" w:cs="宋体"/>
          <w:b/>
          <w:sz w:val="44"/>
          <w:szCs w:val="44"/>
          <w:lang w:val="zh-CN"/>
        </w:rPr>
      </w:pPr>
      <w:r>
        <w:rPr>
          <w:rFonts w:hint="eastAsia" w:hAnsi="宋体" w:eastAsia="宋体" w:cs="宋体"/>
          <w:sz w:val="32"/>
          <w:szCs w:val="32"/>
        </w:rPr>
        <w:t>202</w:t>
      </w:r>
      <w:r>
        <w:rPr>
          <w:rFonts w:hint="eastAsia" w:hAnsi="宋体" w:eastAsia="宋体" w:cs="宋体"/>
          <w:sz w:val="32"/>
          <w:szCs w:val="32"/>
          <w:lang w:val="en-US" w:eastAsia="zh-CN"/>
        </w:rPr>
        <w:t>5</w:t>
      </w:r>
      <w:r>
        <w:rPr>
          <w:rFonts w:hint="eastAsia" w:hAnsi="宋体" w:eastAsia="宋体" w:cs="宋体"/>
          <w:sz w:val="32"/>
          <w:szCs w:val="32"/>
        </w:rPr>
        <w:t>年</w:t>
      </w:r>
      <w:r>
        <w:rPr>
          <w:rFonts w:hint="eastAsia" w:hAnsi="宋体" w:eastAsia="宋体" w:cs="宋体"/>
          <w:sz w:val="32"/>
          <w:szCs w:val="32"/>
          <w:highlight w:val="none"/>
          <w:lang w:val="en-US" w:eastAsia="zh-CN"/>
        </w:rPr>
        <w:t>6</w:t>
      </w:r>
      <w:r>
        <w:rPr>
          <w:rFonts w:hint="eastAsia" w:hAnsi="宋体" w:eastAsia="宋体" w:cs="宋体"/>
          <w:sz w:val="32"/>
          <w:szCs w:val="32"/>
          <w:highlight w:val="none"/>
        </w:rPr>
        <w:t>月</w:t>
      </w:r>
      <w:r>
        <w:rPr>
          <w:rFonts w:hint="eastAsia" w:hAnsi="宋体" w:eastAsia="宋体" w:cs="宋体"/>
          <w:b/>
          <w:sz w:val="44"/>
          <w:szCs w:val="44"/>
          <w:lang w:val="zh-CN"/>
        </w:rPr>
        <w:br w:type="page"/>
      </w:r>
    </w:p>
    <w:p w14:paraId="58910851">
      <w:pPr>
        <w:spacing w:line="460" w:lineRule="exact"/>
        <w:jc w:val="center"/>
        <w:rPr>
          <w:rFonts w:hint="eastAsia" w:ascii="宋体" w:hAnsi="宋体" w:eastAsia="宋体" w:cs="宋体"/>
          <w:b/>
          <w:sz w:val="44"/>
          <w:szCs w:val="28"/>
        </w:rPr>
      </w:pPr>
      <w:r>
        <w:rPr>
          <w:rFonts w:hint="eastAsia" w:ascii="宋体" w:hAnsi="宋体" w:eastAsia="宋体" w:cs="宋体"/>
          <w:b/>
          <w:sz w:val="44"/>
          <w:szCs w:val="28"/>
        </w:rPr>
        <w:t>目  录</w:t>
      </w:r>
    </w:p>
    <w:p w14:paraId="17EDD48D">
      <w:pPr>
        <w:spacing w:line="460" w:lineRule="exact"/>
        <w:jc w:val="center"/>
        <w:rPr>
          <w:rFonts w:hint="eastAsia" w:ascii="宋体" w:hAnsi="宋体" w:eastAsia="宋体" w:cs="宋体"/>
          <w:b/>
          <w:sz w:val="28"/>
          <w:szCs w:val="28"/>
        </w:rPr>
      </w:pPr>
    </w:p>
    <w:p w14:paraId="4C4B1FFF">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第一部分  邀请函</w:t>
      </w:r>
    </w:p>
    <w:p w14:paraId="5B729915">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第二部分  用户需求书</w:t>
      </w:r>
    </w:p>
    <w:p w14:paraId="181BA28F">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评审标准</w:t>
      </w:r>
    </w:p>
    <w:p w14:paraId="4B48F999">
      <w:pPr>
        <w:numPr>
          <w:ilvl w:val="0"/>
          <w:numId w:val="2"/>
        </w:numPr>
        <w:spacing w:line="4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 参评文件格式</w:t>
      </w:r>
    </w:p>
    <w:p w14:paraId="22B97B3A">
      <w:pPr>
        <w:spacing w:line="460" w:lineRule="exact"/>
        <w:ind w:firstLine="562" w:firstLineChars="20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第五部分  合同格式</w:t>
      </w:r>
    </w:p>
    <w:p w14:paraId="5E95D871">
      <w:pPr>
        <w:pStyle w:val="16"/>
        <w:ind w:firstLine="0" w:firstLineChars="0"/>
        <w:rPr>
          <w:rFonts w:hint="eastAsia" w:ascii="宋体" w:hAnsi="宋体" w:eastAsia="宋体" w:cs="宋体"/>
        </w:rPr>
      </w:pPr>
    </w:p>
    <w:p w14:paraId="0A9AC9D4">
      <w:pPr>
        <w:jc w:val="left"/>
        <w:rPr>
          <w:rFonts w:hint="eastAsia" w:ascii="宋体" w:hAnsi="宋体" w:eastAsia="宋体" w:cs="宋体"/>
          <w:b/>
          <w:bCs/>
          <w:sz w:val="44"/>
          <w:szCs w:val="44"/>
        </w:rPr>
      </w:pPr>
      <w:r>
        <w:rPr>
          <w:rFonts w:hint="eastAsia" w:ascii="宋体" w:hAnsi="宋体" w:eastAsia="宋体" w:cs="宋体"/>
          <w:b/>
          <w:bCs/>
          <w:sz w:val="44"/>
          <w:szCs w:val="44"/>
        </w:rPr>
        <w:br w:type="page"/>
      </w:r>
    </w:p>
    <w:p w14:paraId="15AEF84B">
      <w:pPr>
        <w:pStyle w:val="11"/>
        <w:adjustRightInd w:val="0"/>
        <w:snapToGrid w:val="0"/>
        <w:spacing w:line="560" w:lineRule="exact"/>
        <w:jc w:val="center"/>
        <w:outlineLvl w:val="0"/>
        <w:rPr>
          <w:rFonts w:hint="eastAsia" w:hAnsi="宋体" w:eastAsia="宋体" w:cs="宋体"/>
          <w:b/>
          <w:kern w:val="28"/>
          <w:sz w:val="44"/>
          <w:szCs w:val="44"/>
        </w:rPr>
      </w:pPr>
      <w:r>
        <w:rPr>
          <w:rFonts w:hint="eastAsia" w:hAnsi="宋体" w:eastAsia="宋体" w:cs="宋体"/>
          <w:b/>
          <w:bCs/>
          <w:sz w:val="44"/>
          <w:szCs w:val="44"/>
        </w:rPr>
        <w:t>第一部分  邀请函</w:t>
      </w:r>
    </w:p>
    <w:p w14:paraId="0393F4D1">
      <w:pPr>
        <w:keepNext w:val="0"/>
        <w:keepLines w:val="0"/>
        <w:pageBreakBefore w:val="0"/>
        <w:kinsoku/>
        <w:overflowPunct/>
        <w:topLinePunct w:val="0"/>
        <w:bidi w:val="0"/>
        <w:spacing w:line="440" w:lineRule="exact"/>
        <w:jc w:val="left"/>
        <w:outlineLvl w:val="9"/>
        <w:rPr>
          <w:rFonts w:hint="eastAsia" w:ascii="宋体" w:hAnsi="宋体" w:eastAsia="宋体" w:cs="宋体"/>
          <w:spacing w:val="20"/>
          <w:sz w:val="24"/>
          <w:highlight w:val="none"/>
        </w:rPr>
      </w:pPr>
      <w:r>
        <w:rPr>
          <w:rFonts w:hint="eastAsia" w:ascii="宋体" w:hAnsi="宋体" w:eastAsia="宋体" w:cs="宋体"/>
          <w:spacing w:val="20"/>
          <w:sz w:val="24"/>
          <w:highlight w:val="none"/>
        </w:rPr>
        <w:t>各潜在</w:t>
      </w:r>
      <w:r>
        <w:rPr>
          <w:rFonts w:hint="eastAsia" w:ascii="宋体" w:hAnsi="宋体" w:eastAsia="宋体" w:cs="宋体"/>
          <w:spacing w:val="20"/>
          <w:sz w:val="24"/>
          <w:highlight w:val="none"/>
          <w:lang w:val="en-US" w:eastAsia="zh-CN"/>
        </w:rPr>
        <w:t>供应</w:t>
      </w:r>
      <w:r>
        <w:rPr>
          <w:rFonts w:hint="eastAsia" w:ascii="宋体" w:hAnsi="宋体" w:eastAsia="宋体" w:cs="宋体"/>
          <w:spacing w:val="20"/>
          <w:sz w:val="24"/>
          <w:highlight w:val="none"/>
        </w:rPr>
        <w:t>商：</w:t>
      </w:r>
    </w:p>
    <w:p w14:paraId="39A747D2">
      <w:pPr>
        <w:widowControl/>
        <w:adjustRightInd w:val="0"/>
        <w:spacing w:line="440" w:lineRule="exac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现就中山市公共交通运输集团有限公司（下称采购人）对市场化板块子公司人才激励约束机制优化咨询项目进行公开采购，欢迎符合资格条件的供应商参与评选，有关事项如下：</w:t>
      </w:r>
    </w:p>
    <w:p w14:paraId="4CBDB80C">
      <w:pPr>
        <w:keepNext w:val="0"/>
        <w:keepLines w:val="0"/>
        <w:pageBreakBefore w:val="0"/>
        <w:numPr>
          <w:ilvl w:val="255"/>
          <w:numId w:val="0"/>
        </w:numPr>
        <w:kinsoku/>
        <w:overflowPunct/>
        <w:topLinePunct w:val="0"/>
        <w:bidi w:val="0"/>
        <w:spacing w:line="440" w:lineRule="exact"/>
        <w:ind w:firstLine="482" w:firstLineChars="200"/>
        <w:jc w:val="left"/>
        <w:outlineLvl w:val="9"/>
        <w:rPr>
          <w:rFonts w:hint="eastAsia" w:ascii="宋体" w:hAnsi="宋体" w:eastAsia="宋体" w:cs="宋体"/>
          <w:bCs/>
          <w:color w:val="000000" w:themeColor="text1"/>
          <w:spacing w:val="0"/>
          <w:sz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一、项目名称：</w:t>
      </w:r>
      <w:r>
        <w:rPr>
          <w:rFonts w:hint="eastAsia" w:ascii="宋体" w:hAnsi="宋体" w:eastAsia="宋体" w:cs="宋体"/>
          <w:bCs/>
          <w:color w:val="000000" w:themeColor="text1"/>
          <w:sz w:val="24"/>
          <w:szCs w:val="24"/>
          <w:lang w:val="en-US" w:eastAsia="zh-CN"/>
          <w14:textFill>
            <w14:solidFill>
              <w14:schemeClr w14:val="tx1"/>
            </w14:solidFill>
          </w14:textFill>
        </w:rPr>
        <w:t>市场化板块子公司人才激励约束机制优化咨询项目</w:t>
      </w:r>
      <w:r>
        <w:rPr>
          <w:rFonts w:hint="eastAsia" w:ascii="宋体" w:hAnsi="宋体" w:eastAsia="宋体" w:cs="宋体"/>
          <w:bCs/>
          <w:color w:val="000000" w:themeColor="text1"/>
          <w:spacing w:val="0"/>
          <w:sz w:val="24"/>
          <w:lang w:eastAsia="zh-CN"/>
          <w14:textFill>
            <w14:solidFill>
              <w14:schemeClr w14:val="tx1"/>
            </w14:solidFill>
          </w14:textFill>
        </w:rPr>
        <w:t>（</w:t>
      </w:r>
      <w:r>
        <w:rPr>
          <w:rFonts w:hint="eastAsia" w:ascii="宋体" w:hAnsi="宋体" w:eastAsia="宋体" w:cs="宋体"/>
          <w:bCs/>
          <w:color w:val="000000" w:themeColor="text1"/>
          <w:spacing w:val="0"/>
          <w:sz w:val="24"/>
          <w:lang w:val="en-US" w:eastAsia="zh-CN"/>
          <w14:textFill>
            <w14:solidFill>
              <w14:schemeClr w14:val="tx1"/>
            </w14:solidFill>
          </w14:textFill>
        </w:rPr>
        <w:t>第二次</w:t>
      </w:r>
      <w:r>
        <w:rPr>
          <w:rFonts w:hint="eastAsia" w:ascii="宋体" w:hAnsi="宋体" w:eastAsia="宋体" w:cs="宋体"/>
          <w:bCs/>
          <w:color w:val="000000" w:themeColor="text1"/>
          <w:spacing w:val="0"/>
          <w:sz w:val="24"/>
          <w:lang w:eastAsia="zh-CN"/>
          <w14:textFill>
            <w14:solidFill>
              <w14:schemeClr w14:val="tx1"/>
            </w14:solidFill>
          </w14:textFill>
        </w:rPr>
        <w:t>）</w:t>
      </w:r>
    </w:p>
    <w:p w14:paraId="142343E0">
      <w:pPr>
        <w:keepNext w:val="0"/>
        <w:keepLines w:val="0"/>
        <w:pageBreakBefore w:val="0"/>
        <w:numPr>
          <w:ilvl w:val="0"/>
          <w:numId w:val="0"/>
        </w:numPr>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二、项目要求：</w:t>
      </w:r>
      <w:r>
        <w:rPr>
          <w:rFonts w:hint="eastAsia" w:ascii="宋体" w:hAnsi="宋体" w:cs="宋体"/>
          <w:color w:val="000000" w:themeColor="text1"/>
          <w:sz w:val="24"/>
          <w:highlight w:val="none"/>
          <w14:textFill>
            <w14:solidFill>
              <w14:schemeClr w14:val="tx1"/>
            </w14:solidFill>
          </w14:textFill>
        </w:rPr>
        <w:t>详细技术参数</w:t>
      </w:r>
      <w:r>
        <w:rPr>
          <w:rFonts w:hint="eastAsia" w:asciiTheme="minorEastAsia" w:hAnsiTheme="minorEastAsia" w:eastAsiaTheme="minorEastAsia" w:cstheme="minorEastAsia"/>
          <w:color w:val="000000" w:themeColor="text1"/>
          <w:sz w:val="24"/>
          <w:szCs w:val="24"/>
          <w14:textFill>
            <w14:solidFill>
              <w14:schemeClr w14:val="tx1"/>
            </w14:solidFill>
          </w14:textFill>
        </w:rPr>
        <w:t>见第二部分《用户需求书》</w:t>
      </w:r>
    </w:p>
    <w:p w14:paraId="15A84D29">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三</w:t>
      </w:r>
      <w:r>
        <w:rPr>
          <w:rFonts w:hint="eastAsia" w:ascii="宋体" w:hAnsi="宋体" w:cs="宋体"/>
          <w:b/>
          <w:bCs/>
          <w:color w:val="000000" w:themeColor="text1"/>
          <w:sz w:val="24"/>
          <w:highlight w:val="none"/>
          <w14:textFill>
            <w14:solidFill>
              <w14:schemeClr w14:val="tx1"/>
            </w14:solidFill>
          </w14:textFill>
        </w:rPr>
        <w:t>、预算金额及总报价限价：</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95000</w:t>
      </w:r>
      <w:r>
        <w:rPr>
          <w:rFonts w:hint="eastAsia" w:ascii="宋体" w:hAnsi="宋体" w:cs="宋体"/>
          <w:color w:val="000000" w:themeColor="text1"/>
          <w:sz w:val="24"/>
          <w:highlight w:val="none"/>
          <w14:textFill>
            <w14:solidFill>
              <w14:schemeClr w14:val="tx1"/>
            </w14:solidFill>
          </w14:textFill>
        </w:rPr>
        <w:t>.00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p>
    <w:p w14:paraId="3BD3FEF8">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四、项目内容：</w:t>
      </w:r>
      <w:r>
        <w:rPr>
          <w:rFonts w:hint="eastAsia" w:ascii="宋体" w:hAnsi="宋体" w:eastAsia="宋体" w:cs="宋体"/>
          <w:bCs/>
          <w:color w:val="000000" w:themeColor="text1"/>
          <w:sz w:val="24"/>
          <w:szCs w:val="24"/>
          <w:lang w:val="en-US" w:eastAsia="zh-CN"/>
          <w14:textFill>
            <w14:solidFill>
              <w14:schemeClr w14:val="tx1"/>
            </w14:solidFill>
          </w14:textFill>
        </w:rPr>
        <w:t>市场化板块子</w:t>
      </w:r>
      <w:bookmarkStart w:id="18" w:name="_GoBack"/>
      <w:bookmarkEnd w:id="18"/>
      <w:r>
        <w:rPr>
          <w:rFonts w:hint="eastAsia" w:ascii="宋体" w:hAnsi="宋体" w:eastAsia="宋体" w:cs="宋体"/>
          <w:bCs/>
          <w:color w:val="000000" w:themeColor="text1"/>
          <w:sz w:val="24"/>
          <w:szCs w:val="24"/>
          <w:lang w:val="en-US" w:eastAsia="zh-CN"/>
          <w14:textFill>
            <w14:solidFill>
              <w14:schemeClr w14:val="tx1"/>
            </w14:solidFill>
          </w14:textFill>
        </w:rPr>
        <w:t>公司人才激励现状调研诊断、市场化板块子公司组织管控机制优化、市场化板块子公司员工薪酬和绩效激励机制优化、市场化板块子公司绩效考核机制优化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5EB664C3">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五、合格</w:t>
      </w:r>
      <w:r>
        <w:rPr>
          <w:rFonts w:hint="eastAsia" w:asciiTheme="minorEastAsia" w:hAnsiTheme="minorEastAsia" w:eastAsiaTheme="minorEastAsia" w:cstheme="minorEastAsia"/>
          <w:b/>
          <w:bCs/>
          <w:sz w:val="24"/>
          <w:szCs w:val="24"/>
          <w:lang w:val="en-US" w:eastAsia="zh-CN"/>
        </w:rPr>
        <w:t>供应</w:t>
      </w:r>
      <w:r>
        <w:rPr>
          <w:rFonts w:hint="eastAsia" w:asciiTheme="minorEastAsia" w:hAnsiTheme="minorEastAsia" w:eastAsiaTheme="minorEastAsia" w:cstheme="minorEastAsia"/>
          <w:b/>
          <w:bCs/>
          <w:sz w:val="24"/>
          <w:szCs w:val="24"/>
        </w:rPr>
        <w:t>商资格要求</w:t>
      </w:r>
    </w:p>
    <w:p w14:paraId="0C7B367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（一）具有独立承担民事责任能力的在中华人民共和国境内注册的企业法人。</w:t>
      </w:r>
    </w:p>
    <w:p w14:paraId="352C832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val="zh-CN"/>
        </w:rPr>
        <w:t>经营范围</w:t>
      </w:r>
      <w:r>
        <w:rPr>
          <w:rFonts w:hint="eastAsia" w:asciiTheme="minorEastAsia" w:hAnsiTheme="minorEastAsia" w:eastAsiaTheme="minorEastAsia" w:cstheme="minorEastAsia"/>
          <w:sz w:val="24"/>
          <w:szCs w:val="24"/>
          <w:lang w:val="en-US" w:eastAsia="zh-CN"/>
        </w:rPr>
        <w:t>至少包括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企业管理、企业管理咨询、社会经济咨询服务</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val="en-US" w:eastAsia="zh-CN"/>
        </w:rPr>
        <w:t>其中一项</w:t>
      </w:r>
      <w:r>
        <w:rPr>
          <w:rFonts w:hint="eastAsia" w:asciiTheme="minorEastAsia" w:hAnsiTheme="minorEastAsia" w:eastAsiaTheme="minorEastAsia" w:cstheme="minorEastAsia"/>
          <w:sz w:val="24"/>
          <w:szCs w:val="24"/>
          <w:lang w:val="zh-CN"/>
        </w:rPr>
        <w:t>（以营业执照上的经营范围内容为准，如营业执照未显示经营范围，则须另外提供国家企业信用信息公示系统网站打印含有经营范围的企业基本资料证明）。</w:t>
      </w:r>
    </w:p>
    <w:p w14:paraId="5BA03463">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）服务商</w:t>
      </w:r>
      <w:r>
        <w:rPr>
          <w:rFonts w:hint="eastAsia" w:ascii="宋体" w:hAnsi="宋体" w:cs="宋体"/>
          <w:sz w:val="24"/>
          <w:highlight w:val="none"/>
        </w:rPr>
        <w:t>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rPr>
        <w:t>。</w:t>
      </w:r>
    </w:p>
    <w:p w14:paraId="285640CD">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rPr>
        <w:t>参评</w:t>
      </w:r>
      <w:r>
        <w:rPr>
          <w:rFonts w:hint="eastAsia" w:ascii="宋体" w:hAnsi="宋体" w:cs="宋体"/>
          <w:sz w:val="24"/>
          <w:highlight w:val="none"/>
          <w:lang w:eastAsia="zh-CN"/>
        </w:rPr>
        <w:t>服务商</w:t>
      </w:r>
      <w:r>
        <w:rPr>
          <w:rFonts w:hint="eastAsia" w:ascii="宋体" w:hAnsi="宋体" w:cs="宋体"/>
          <w:sz w:val="24"/>
          <w:highlight w:val="none"/>
        </w:rPr>
        <w:t>满足本项目的主要需求，填写《需求响应表》并全部完全响应，无负偏离。</w:t>
      </w:r>
    </w:p>
    <w:p w14:paraId="697FFB14">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14:paraId="5AECE948">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六</w:t>
      </w:r>
      <w:r>
        <w:rPr>
          <w:rFonts w:hint="eastAsia" w:ascii="宋体" w:hAnsi="宋体" w:cs="宋体"/>
          <w:bCs/>
          <w:sz w:val="24"/>
          <w:szCs w:val="24"/>
          <w:lang w:eastAsia="zh-CN"/>
        </w:rPr>
        <w:t>）</w:t>
      </w:r>
      <w:r>
        <w:rPr>
          <w:rFonts w:hint="eastAsia" w:ascii="宋体" w:hAnsi="宋体" w:eastAsia="宋体" w:cs="宋体"/>
          <w:bCs/>
          <w:sz w:val="24"/>
          <w:szCs w:val="24"/>
        </w:rPr>
        <w:t>本项目不接受联合体</w:t>
      </w:r>
      <w:r>
        <w:rPr>
          <w:rFonts w:hint="eastAsia" w:ascii="宋体" w:hAnsi="宋体" w:cs="宋体"/>
          <w:bCs/>
          <w:sz w:val="24"/>
          <w:szCs w:val="24"/>
          <w:lang w:val="en-US" w:eastAsia="zh-CN"/>
        </w:rPr>
        <w:t>服务商参评报价</w:t>
      </w:r>
      <w:r>
        <w:rPr>
          <w:rFonts w:hint="eastAsia" w:ascii="宋体" w:hAnsi="宋体" w:cs="宋体"/>
          <w:bCs/>
          <w:sz w:val="24"/>
          <w:szCs w:val="24"/>
          <w:lang w:eastAsia="zh-CN"/>
        </w:rPr>
        <w:t>。</w:t>
      </w:r>
    </w:p>
    <w:p w14:paraId="7821CE8A">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六、获取公开采购文件</w:t>
      </w:r>
    </w:p>
    <w:p w14:paraId="2B2B4C48">
      <w:pPr>
        <w:keepNext w:val="0"/>
        <w:keepLines w:val="0"/>
        <w:pageBreakBefore w:val="0"/>
        <w:kinsoku/>
        <w:wordWrap w:val="0"/>
        <w:overflowPunct/>
        <w:topLinePunct w:val="0"/>
        <w:bidi w:val="0"/>
        <w:spacing w:line="440" w:lineRule="exact"/>
        <w:ind w:firstLine="480" w:firstLineChars="200"/>
        <w:jc w:val="both"/>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（一）本项目的采购公告信息在中山市公共交通运输集团有限公司官方网站（https://www.zsbus.cn/infolist.aspx?cid=35）及中山产权服务网（http://zscq.zsnews.cn/）上公布，并视为有效送达，不再另行通知。</w:t>
      </w:r>
    </w:p>
    <w:p w14:paraId="362A998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14:paraId="7E88B47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（三）采购文件下载</w:t>
      </w:r>
      <w:r>
        <w:rPr>
          <w:rFonts w:hint="eastAsia" w:asciiTheme="minorEastAsia" w:hAnsiTheme="minorEastAsia" w:eastAsiaTheme="minorEastAsia" w:cstheme="minorEastAsia"/>
          <w:sz w:val="24"/>
          <w:szCs w:val="24"/>
          <w:highlight w:val="none"/>
        </w:rPr>
        <w:t>时间：自本项目公告发布之日起至202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w:t>
      </w:r>
      <w:r>
        <w:rPr>
          <w:rFonts w:hint="eastAsia" w:asciiTheme="minorEastAsia" w:hAnsi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w:t>
      </w:r>
    </w:p>
    <w:p w14:paraId="14C4CFE1">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七、</w:t>
      </w:r>
      <w:r>
        <w:rPr>
          <w:rFonts w:hint="eastAsia" w:asciiTheme="minorEastAsia" w:hAnsiTheme="minorEastAsia" w:cstheme="minorEastAsia"/>
          <w:b/>
          <w:bCs/>
          <w:sz w:val="24"/>
          <w:szCs w:val="24"/>
          <w:highlight w:val="none"/>
          <w:lang w:val="en-US" w:eastAsia="zh-CN"/>
        </w:rPr>
        <w:t>报名要求</w:t>
      </w:r>
    </w:p>
    <w:p w14:paraId="2A84396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14:paraId="3B6E2863">
      <w:pPr>
        <w:keepNext w:val="0"/>
        <w:keepLines w:val="0"/>
        <w:pageBreakBefore w:val="0"/>
        <w:numPr>
          <w:ilvl w:val="0"/>
          <w:numId w:val="0"/>
        </w:numPr>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eastAsiaTheme="minorEastAsia"/>
          <w:kern w:val="2"/>
          <w:sz w:val="24"/>
          <w:szCs w:val="24"/>
          <w:lang w:val="en-US" w:eastAsia="zh-CN" w:bidi="ar-SA"/>
        </w:rPr>
        <w:t>（二）</w:t>
      </w:r>
      <w:r>
        <w:rPr>
          <w:rFonts w:hint="eastAsia" w:ascii="宋体" w:hAnsi="宋体" w:cs="宋体"/>
          <w:sz w:val="24"/>
          <w:highlight w:val="none"/>
        </w:rPr>
        <w:t>报名时间：自本项目公告发布之日起至</w:t>
      </w:r>
      <w:r>
        <w:rPr>
          <w:rFonts w:hint="eastAsia" w:ascii="宋体" w:hAnsi="宋体" w:cs="宋体"/>
          <w:sz w:val="24"/>
          <w:highlight w:val="none"/>
          <w:lang w:val="en-US" w:eastAsia="zh-CN"/>
        </w:rPr>
        <w:t>2025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r>
        <w:rPr>
          <w:rFonts w:hint="eastAsia" w:ascii="宋体" w:hAnsi="宋体" w:cs="宋体"/>
          <w:sz w:val="24"/>
          <w:highlight w:val="none"/>
          <w:lang w:val="en-US" w:eastAsia="zh-CN"/>
        </w:rPr>
        <w:t>11</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w:t>
      </w:r>
      <w:r>
        <w:rPr>
          <w:rFonts w:hint="eastAsia" w:ascii="宋体" w:hAnsi="宋体" w:cs="宋体"/>
          <w:sz w:val="24"/>
          <w:highlight w:val="none"/>
          <w:lang w:eastAsia="zh-CN"/>
        </w:rPr>
        <w:t>服务商</w:t>
      </w:r>
      <w:r>
        <w:rPr>
          <w:rFonts w:hint="eastAsia" w:ascii="宋体" w:hAnsi="宋体" w:cs="宋体"/>
          <w:sz w:val="24"/>
          <w:highlight w:val="none"/>
        </w:rPr>
        <w:t>报名。</w:t>
      </w:r>
    </w:p>
    <w:p w14:paraId="733D20E3">
      <w:pPr>
        <w:pStyle w:val="16"/>
        <w:keepNext w:val="0"/>
        <w:keepLines w:val="0"/>
        <w:pageBreakBefore w:val="0"/>
        <w:kinsoku/>
        <w:overflowPunct/>
        <w:topLinePunct w:val="0"/>
        <w:bidi w:val="0"/>
        <w:spacing w:after="0" w:line="440" w:lineRule="exact"/>
        <w:ind w:firstLine="480" w:firstLineChars="200"/>
        <w:outlineLvl w:val="9"/>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中山市南区城南三路中山市公共交通运输集团有限公司彭先生（15972926258）。</w:t>
      </w:r>
    </w:p>
    <w:p w14:paraId="2B329C8B">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八、项目评审</w:t>
      </w:r>
    </w:p>
    <w:p w14:paraId="4439039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（一）评审时间：202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日</w:t>
      </w:r>
      <w:r>
        <w:rPr>
          <w:rFonts w:hint="eastAsia" w:asciiTheme="minorEastAsia" w:hAnsiTheme="minorEastAsia" w:cstheme="minorEastAsia"/>
          <w:sz w:val="24"/>
          <w:szCs w:val="24"/>
          <w:highlight w:val="none"/>
          <w:lang w:val="en-US" w:eastAsia="zh-CN"/>
        </w:rPr>
        <w:t>下午</w:t>
      </w:r>
      <w:r>
        <w:rPr>
          <w:rFonts w:hint="eastAsia" w:asciiTheme="minorEastAsia" w:hAnsiTheme="minorEastAsia" w:eastAsiaTheme="minorEastAsia" w:cstheme="minorEastAsia"/>
          <w:sz w:val="24"/>
          <w:szCs w:val="24"/>
          <w:highlight w:val="none"/>
        </w:rPr>
        <w:t>。</w:t>
      </w:r>
    </w:p>
    <w:p w14:paraId="406A0FD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w:t>
      </w:r>
      <w:r>
        <w:rPr>
          <w:rFonts w:hint="eastAsia" w:asciiTheme="minorEastAsia" w:hAnsiTheme="minorEastAsia" w:eastAsiaTheme="minorEastAsia" w:cstheme="minorEastAsia"/>
          <w:sz w:val="24"/>
          <w:szCs w:val="24"/>
          <w:highlight w:val="none"/>
        </w:rPr>
        <w:t>，评审时</w:t>
      </w:r>
      <w:r>
        <w:rPr>
          <w:rFonts w:hint="eastAsia" w:asciiTheme="minorEastAsia" w:hAnsiTheme="minorEastAsia" w:eastAsiaTheme="minorEastAsia" w:cstheme="minorEastAsia"/>
          <w:sz w:val="24"/>
          <w:szCs w:val="24"/>
          <w:highlight w:val="none"/>
          <w:lang w:val="en-US" w:eastAsia="zh-CN"/>
        </w:rPr>
        <w:t>参评供应商</w:t>
      </w:r>
      <w:r>
        <w:rPr>
          <w:rFonts w:hint="eastAsia" w:asciiTheme="minorEastAsia" w:hAnsiTheme="minorEastAsia" w:eastAsiaTheme="minorEastAsia" w:cstheme="minorEastAsia"/>
          <w:sz w:val="24"/>
          <w:szCs w:val="24"/>
          <w:highlight w:val="none"/>
        </w:rPr>
        <w:t>无需到场参加。</w:t>
      </w:r>
    </w:p>
    <w:p w14:paraId="0D0DDFCE">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九、评审结果公示</w:t>
      </w:r>
    </w:p>
    <w:p w14:paraId="04BB2991">
      <w:pPr>
        <w:keepNext w:val="0"/>
        <w:keepLines w:val="0"/>
        <w:pageBreakBefore w:val="0"/>
        <w:kinsoku/>
        <w:wordWrap w:val="0"/>
        <w:overflowPunct/>
        <w:topLinePunct w:val="0"/>
        <w:bidi w:val="0"/>
        <w:spacing w:line="440" w:lineRule="exact"/>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评审结束后，采购人将在中山市公共交通运输集团有限公司官方网站（https://www.zsbus.cn/infolist.aspx?cid=35）及中山产权服务网（http://zscq.zsnews.cn/）上进行结果公示，公示期2日</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公示期结束后7个日历天内由采购人向中选人发出《评选结果通知书》</w:t>
      </w:r>
      <w:r>
        <w:rPr>
          <w:rFonts w:hint="eastAsia" w:ascii="宋体" w:hAnsi="宋体" w:cs="宋体"/>
          <w:color w:val="000000" w:themeColor="text1"/>
          <w:sz w:val="24"/>
          <w:highlight w:val="none"/>
          <w14:textFill>
            <w14:solidFill>
              <w14:schemeClr w14:val="tx1"/>
            </w14:solidFill>
          </w14:textFill>
        </w:rPr>
        <w:t>。如果参评供应商对此次评审结果有异议的，可在公示期内向采购人书面提出，但需对异议内容的真实性承担责任。采购人应自收到书面异议原件之日起3日内作出答复，并在答复前暂停本项目评选。</w:t>
      </w:r>
    </w:p>
    <w:p w14:paraId="516C70EC">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十、采购人联系方式</w:t>
      </w:r>
    </w:p>
    <w:p w14:paraId="25ABCD0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采购人联系电话：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曾小姐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13417858225</w:t>
      </w:r>
    </w:p>
    <w:p w14:paraId="79926DF7">
      <w:pPr>
        <w:keepNext w:val="0"/>
        <w:keepLines w:val="0"/>
        <w:pageBreakBefore w:val="0"/>
        <w:kinsoku/>
        <w:overflowPunct/>
        <w:topLinePunct w:val="0"/>
        <w:bidi w:val="0"/>
        <w:spacing w:line="440" w:lineRule="exact"/>
        <w:ind w:firstLine="480" w:firstLineChars="200"/>
        <w:jc w:val="left"/>
        <w:outlineLvl w:val="9"/>
        <w:rPr>
          <w:rFonts w:ascii="宋体" w:hAnsi="宋体" w:cs="宋体"/>
          <w:bCs/>
          <w:color w:val="000000" w:themeColor="text1"/>
          <w:sz w:val="44"/>
          <w:szCs w:val="32"/>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采购人联系地址：中山市南区城南三路38号</w:t>
      </w:r>
    </w:p>
    <w:p w14:paraId="20D78554">
      <w:pPr>
        <w:pStyle w:val="2"/>
        <w:rPr>
          <w:rFonts w:hint="default"/>
          <w:lang w:val="en-US" w:eastAsia="zh-CN"/>
        </w:rPr>
      </w:pPr>
    </w:p>
    <w:p w14:paraId="047229D3">
      <w:pPr>
        <w:keepNext w:val="0"/>
        <w:keepLines w:val="0"/>
        <w:pageBreakBefore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sz w:val="24"/>
          <w:szCs w:val="24"/>
          <w:highlight w:val="none"/>
        </w:rPr>
      </w:pPr>
    </w:p>
    <w:p w14:paraId="4A3365E2">
      <w:pPr>
        <w:keepNext w:val="0"/>
        <w:keepLines w:val="0"/>
        <w:pageBreakBefore w:val="0"/>
        <w:kinsoku/>
        <w:wordWrap/>
        <w:overflowPunct/>
        <w:topLinePunct w:val="0"/>
        <w:autoSpaceDE/>
        <w:autoSpaceDN/>
        <w:bidi w:val="0"/>
        <w:adjustRightInd w:val="0"/>
        <w:snapToGrid w:val="0"/>
        <w:spacing w:before="24" w:beforeLines="10" w:after="24" w:afterLines="10" w:line="440" w:lineRule="exact"/>
        <w:jc w:val="righ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highlight w:val="none"/>
        </w:rPr>
        <w:t>中山市公共交通运输集团有限公司</w:t>
      </w:r>
    </w:p>
    <w:p w14:paraId="025CE9E6">
      <w:pPr>
        <w:keepNext w:val="0"/>
        <w:keepLines w:val="0"/>
        <w:pageBreakBefore w:val="0"/>
        <w:widowControl/>
        <w:tabs>
          <w:tab w:val="left" w:pos="142"/>
          <w:tab w:val="left" w:pos="426"/>
        </w:tabs>
        <w:kinsoku/>
        <w:wordWrap/>
        <w:overflowPunct/>
        <w:topLinePunct w:val="0"/>
        <w:autoSpaceDE/>
        <w:autoSpaceDN/>
        <w:bidi w:val="0"/>
        <w:adjustRightInd w:val="0"/>
        <w:spacing w:line="440" w:lineRule="exact"/>
        <w:ind w:left="420" w:leftChars="200" w:firstLine="6720" w:firstLineChars="2800"/>
        <w:jc w:val="center"/>
        <w:textAlignment w:val="auto"/>
        <w:rPr>
          <w:rFonts w:hint="eastAsia" w:ascii="宋体" w:hAnsi="宋体" w:eastAsia="宋体" w:cs="宋体"/>
          <w:bCs/>
          <w:kern w:val="0"/>
          <w:sz w:val="21"/>
          <w:szCs w:val="21"/>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日</w:t>
      </w:r>
    </w:p>
    <w:p w14:paraId="72DFE788">
      <w:pPr>
        <w:pStyle w:val="11"/>
        <w:adjustRightInd w:val="0"/>
        <w:snapToGrid w:val="0"/>
        <w:spacing w:line="560" w:lineRule="exact"/>
        <w:jc w:val="center"/>
        <w:outlineLvl w:val="0"/>
        <w:rPr>
          <w:rFonts w:hint="eastAsia" w:hAnsi="宋体" w:eastAsia="宋体" w:cs="宋体"/>
          <w:sz w:val="44"/>
          <w:szCs w:val="44"/>
        </w:rPr>
      </w:pPr>
      <w:r>
        <w:rPr>
          <w:rFonts w:hint="eastAsia" w:hAnsi="宋体" w:eastAsia="宋体" w:cs="宋体"/>
          <w:b/>
          <w:kern w:val="28"/>
          <w:sz w:val="44"/>
          <w:szCs w:val="44"/>
        </w:rPr>
        <w:t>第二部分  用户需求书</w:t>
      </w:r>
    </w:p>
    <w:p w14:paraId="1572315B">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一、项目背景</w:t>
      </w:r>
    </w:p>
    <w:p w14:paraId="21DEE58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中山市公共交通运输集团有限公司（简称</w:t>
      </w:r>
      <w:r>
        <w:rPr>
          <w:rFonts w:hint="eastAsia" w:asciiTheme="minorEastAsia" w:hAnsiTheme="minorEastAsia" w:cstheme="minorEastAsia"/>
          <w:sz w:val="24"/>
          <w:szCs w:val="24"/>
          <w:highlight w:val="none"/>
          <w:lang w:val="en-US" w:eastAsia="zh-CN"/>
        </w:rPr>
        <w:t>中山</w:t>
      </w:r>
      <w:r>
        <w:rPr>
          <w:rFonts w:hint="eastAsia" w:asciiTheme="minorEastAsia" w:hAnsiTheme="minorEastAsia" w:eastAsiaTheme="minorEastAsia" w:cstheme="minorEastAsia"/>
          <w:sz w:val="24"/>
          <w:szCs w:val="24"/>
          <w:highlight w:val="none"/>
          <w:lang w:eastAsia="zh-CN"/>
        </w:rPr>
        <w:t>公交集团）成立于1975年，拥有国家道路旅客运输二级企业资质，是以经营城市公共交通为主，集市际包车、厂企班车、校园定制公交、长途汽车客运站、汽车修理、广告等经营为一体的国有全资公共交通运输企业，以及中山市城乡一体化公共交通的承担者和市委、市政府公交优先民生政策的承载体，担负着全市各镇街公交运营服务。</w:t>
      </w:r>
    </w:p>
    <w:p w14:paraId="33F1728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本项目主要涉及其中3家市场化业务子公司，分别为中山市城市汽车客运站</w:t>
      </w:r>
      <w:r>
        <w:rPr>
          <w:rFonts w:hint="eastAsia" w:asciiTheme="minorEastAsia" w:hAnsiTheme="minorEastAsia" w:cstheme="minorEastAsia"/>
          <w:sz w:val="24"/>
          <w:szCs w:val="24"/>
          <w:highlight w:val="none"/>
          <w:lang w:val="en-US" w:eastAsia="zh-CN"/>
        </w:rPr>
        <w:t>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负责客运站业务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中山市香山畅行管理有限公司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负责包车及外修业务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中山市新域广告有限公司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负责广告及文创业务</w:t>
      </w:r>
      <w:r>
        <w:rPr>
          <w:rFonts w:hint="eastAsia" w:asciiTheme="minorEastAsia" w:hAnsiTheme="minorEastAsia" w:eastAsiaTheme="minorEastAsia" w:cstheme="minorEastAsia"/>
          <w:sz w:val="24"/>
          <w:szCs w:val="24"/>
          <w:highlight w:val="none"/>
          <w:lang w:eastAsia="zh-CN"/>
        </w:rPr>
        <w:t>）。</w:t>
      </w:r>
    </w:p>
    <w:p w14:paraId="124AECE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为了实现市场化业务板块“自负盈亏、自主经营、可持续发展”的目标，构建一套与发展需求相契合的组织管控和人才激励约束机制，激发市场化业务子公司员工的工作内驱力，促进企业发展。</w:t>
      </w:r>
    </w:p>
    <w:p w14:paraId="538A94C1">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二、项目内容及要求</w:t>
      </w:r>
    </w:p>
    <w:p w14:paraId="083A4FA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市场化板块子公司</w:t>
      </w:r>
      <w:r>
        <w:rPr>
          <w:rFonts w:hint="eastAsia" w:asciiTheme="minorEastAsia" w:hAnsiTheme="minorEastAsia" w:eastAsiaTheme="minorEastAsia" w:cstheme="minorEastAsia"/>
          <w:b w:val="0"/>
          <w:bCs w:val="0"/>
          <w:sz w:val="24"/>
          <w:szCs w:val="24"/>
          <w:highlight w:val="none"/>
          <w:lang w:eastAsia="zh-CN"/>
        </w:rPr>
        <w:t>人才激励现状调研诊断</w:t>
      </w:r>
    </w:p>
    <w:p w14:paraId="7FD202F8">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围绕</w:t>
      </w:r>
      <w:r>
        <w:rPr>
          <w:rFonts w:hint="eastAsia" w:asciiTheme="minorEastAsia" w:hAnsiTheme="minorEastAsia" w:cstheme="minorEastAsia"/>
          <w:sz w:val="24"/>
          <w:szCs w:val="24"/>
          <w:highlight w:val="none"/>
          <w:lang w:val="en-US" w:eastAsia="zh-CN"/>
        </w:rPr>
        <w:t>中山</w:t>
      </w:r>
      <w:r>
        <w:rPr>
          <w:rFonts w:hint="eastAsia" w:asciiTheme="minorEastAsia" w:hAnsiTheme="minorEastAsia" w:eastAsiaTheme="minorEastAsia" w:cstheme="minorEastAsia"/>
          <w:sz w:val="24"/>
          <w:szCs w:val="24"/>
          <w:highlight w:val="none"/>
          <w:lang w:eastAsia="zh-CN"/>
        </w:rPr>
        <w:t>公交集团总部、市场化板块子公司、行业标杆企业以及相关管理人员和业务骨干展开。调研内容涵盖组织管控、战略经营、人力资源管理、薪酬激励、绩效考核现状，以及员工满意度与期望。通过资料收集、访谈、问卷调查和行业对标分析等方法，形成《市场化板块子公司薪酬激励现状调研诊断和优化策略报告》，总结现状、分析问题并提出优化建议。</w:t>
      </w:r>
    </w:p>
    <w:p w14:paraId="148EC61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（二）市场化板块子公司组织管控机制优化</w:t>
      </w:r>
    </w:p>
    <w:p w14:paraId="72D9B0E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针对不同子公司的业务规模、管理成熟度和经营难度，按照“一企一策”原则，进行差异化授权，形成不同子公司《重大事项权责清单》（一企一表），并按“一年一调”方式，建立年度动态调整机制。</w:t>
      </w:r>
    </w:p>
    <w:p w14:paraId="7373755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（三）市场化板块子公司薪酬和绩效激励机制优化</w:t>
      </w:r>
    </w:p>
    <w:p w14:paraId="0F24478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lang w:eastAsia="zh-CN"/>
        </w:rPr>
        <w:t>子公司负责人薪酬和考核机制</w:t>
      </w:r>
    </w:p>
    <w:p w14:paraId="14BA2E1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建立对子公司负责人“高激励、严考核”的薪酬和考核机制，充分贯彻“业绩导向、利润导向、贡献导向”，将其经理层的个人收入</w:t>
      </w:r>
      <w:r>
        <w:rPr>
          <w:rFonts w:hint="eastAsia" w:asciiTheme="minorEastAsia" w:hAnsiTheme="minorEastAsia" w:cstheme="minorEastAsia"/>
          <w:sz w:val="24"/>
          <w:szCs w:val="24"/>
          <w:highlight w:val="none"/>
          <w:lang w:val="en-US" w:eastAsia="zh-CN"/>
        </w:rPr>
        <w:t>密切</w:t>
      </w:r>
      <w:r>
        <w:rPr>
          <w:rFonts w:hint="eastAsia" w:asciiTheme="minorEastAsia" w:hAnsiTheme="minorEastAsia" w:eastAsiaTheme="minorEastAsia" w:cstheme="minorEastAsia"/>
          <w:sz w:val="24"/>
          <w:szCs w:val="24"/>
          <w:highlight w:val="none"/>
          <w:lang w:eastAsia="zh-CN"/>
        </w:rPr>
        <w:t>和经营业绩考核挂钩，刚性考核、刚性兑现，夯实经营责任和压力，打造一支能打硬仗、善打胜仗的经理人队伍。</w:t>
      </w:r>
    </w:p>
    <w:p w14:paraId="1C0579B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《市场化板块子公司负责人薪酬和绩效管理制度》。</w:t>
      </w:r>
    </w:p>
    <w:p w14:paraId="4E8A9F2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非销售人员薪酬激励机制</w:t>
      </w:r>
    </w:p>
    <w:p w14:paraId="6A4BEE3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统一设计员工的职业发展通道和薪酬等级标准，统一薪酬核算方法和兑现方式。</w:t>
      </w:r>
    </w:p>
    <w:p w14:paraId="53DC38C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在绩效工资的核算上，通过“绩效调节系数”来体现不同子公司的差异（发展阶段、营收规模、盈利贡献和管理难度等），拉开不同单位员工绩效薪酬的差距，提升薪酬的内部公平感。</w:t>
      </w:r>
    </w:p>
    <w:p w14:paraId="7811E6F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《市场化板块子公司（非销售类）员工职级和薪酬管理制度》（含子公司“绩效调节系数”核定标准）以及现在职员工职级和薪酬对套测算。</w:t>
      </w:r>
    </w:p>
    <w:p w14:paraId="748A3D1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销售人员薪酬激励机制</w:t>
      </w:r>
    </w:p>
    <w:p w14:paraId="2490BDE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对不同子公司的销售人员，按照</w:t>
      </w:r>
      <w:r>
        <w:rPr>
          <w:rFonts w:hint="eastAsia" w:asciiTheme="minorEastAsia" w:hAnsiTheme="minorEastAsia" w:eastAsiaTheme="minorEastAsia" w:cstheme="minorEastAsia"/>
          <w:sz w:val="24"/>
          <w:szCs w:val="24"/>
          <w:highlight w:val="none"/>
          <w:lang w:val="en-US" w:eastAsia="zh-CN"/>
        </w:rPr>
        <w:t>不同的业务（如客运站业务、包车与外修业务、广告与文创业务</w:t>
      </w:r>
      <w:r>
        <w:rPr>
          <w:rFonts w:hint="eastAsia" w:asciiTheme="minorEastAsia" w:hAnsiTheme="minorEastAsia" w:eastAsiaTheme="minorEastAsia" w:cstheme="minorEastAsia"/>
          <w:sz w:val="24"/>
          <w:szCs w:val="24"/>
          <w:highlight w:val="none"/>
          <w:lang w:eastAsia="zh-CN"/>
        </w:rPr>
        <w:t>），按“一企一策”原则设计各自的薪酬激励方案。</w:t>
      </w:r>
    </w:p>
    <w:p w14:paraId="74AA733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不同子公司《（销售类）员工薪酬和绩效激励实施方案》（一企一策）。</w:t>
      </w:r>
    </w:p>
    <w:p w14:paraId="6D9F30C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超额利润激励和专项激励制度</w:t>
      </w:r>
    </w:p>
    <w:p w14:paraId="6F8ADB1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对不同盈利水平的子公司，通过超额利润激励实现“赚钱多的收入高、赚钱少的收入低”；同时，结合各细分业务的特点，设定市场拓展、全员营销、大项目奖励、业绩达标先锋奖励、降本增效奖励等多种形式的专项奖励，丰富激励手段，提高薪酬激励机制的指引性。</w:t>
      </w:r>
    </w:p>
    <w:p w14:paraId="7CC6CB4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《市场化板块子公司超额利润激励管理制度》和《市场化板块子公司2025年专项激励实施方案》（含具体激励项目、标准及分配规则）。</w:t>
      </w:r>
    </w:p>
    <w:p w14:paraId="1B39977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市场化板块子公司</w:t>
      </w:r>
      <w:r>
        <w:rPr>
          <w:rFonts w:hint="eastAsia" w:asciiTheme="minorEastAsia" w:hAnsiTheme="minorEastAsia" w:eastAsiaTheme="minorEastAsia" w:cstheme="minorEastAsia"/>
          <w:b w:val="0"/>
          <w:bCs w:val="0"/>
          <w:sz w:val="24"/>
          <w:szCs w:val="24"/>
          <w:highlight w:val="none"/>
          <w:lang w:eastAsia="zh-CN"/>
        </w:rPr>
        <w:t>绩效考核机制优化</w:t>
      </w:r>
    </w:p>
    <w:p w14:paraId="288C127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cyan"/>
          <w:lang w:eastAsia="zh-CN"/>
        </w:rPr>
      </w:pPr>
      <w:r>
        <w:rPr>
          <w:rFonts w:hint="eastAsia" w:asciiTheme="minorEastAsia" w:hAnsiTheme="minorEastAsia" w:eastAsiaTheme="minorEastAsia" w:cstheme="minorEastAsia"/>
          <w:sz w:val="24"/>
          <w:szCs w:val="24"/>
          <w:highlight w:val="none"/>
          <w:lang w:eastAsia="zh-CN"/>
        </w:rPr>
        <w:t>对</w:t>
      </w:r>
      <w:r>
        <w:rPr>
          <w:rFonts w:hint="eastAsia" w:asciiTheme="minorEastAsia" w:hAnsiTheme="minorEastAsia" w:eastAsiaTheme="minorEastAsia" w:cstheme="minorEastAsia"/>
          <w:sz w:val="24"/>
          <w:szCs w:val="24"/>
          <w:highlight w:val="none"/>
          <w:lang w:val="en-US" w:eastAsia="zh-CN"/>
        </w:rPr>
        <w:t>各</w:t>
      </w:r>
      <w:r>
        <w:rPr>
          <w:rFonts w:hint="eastAsia" w:asciiTheme="minorEastAsia" w:hAnsiTheme="minorEastAsia" w:eastAsiaTheme="minorEastAsia" w:cstheme="minorEastAsia"/>
          <w:sz w:val="24"/>
          <w:szCs w:val="24"/>
          <w:highlight w:val="none"/>
          <w:lang w:eastAsia="zh-CN"/>
        </w:rPr>
        <w:t>市场化板块子公司年度经营计划和年度重点工作计划进行分析，提取部门、岗位关键绩效指标，设计不同子公司《年度绩效考核实施方案》（一企一策）和不同子公司《部门、岗位考核指标》，并进行绩效体系试运行辅导、修正，以确保绩效考核机制的有效实施。</w:t>
      </w:r>
    </w:p>
    <w:p w14:paraId="52A5370F">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三、付款方式</w:t>
      </w:r>
    </w:p>
    <w:p w14:paraId="22569FD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本项目不设预付款，自本项目</w:t>
      </w:r>
      <w:r>
        <w:rPr>
          <w:rFonts w:hint="eastAsia" w:asciiTheme="minorEastAsia" w:hAnsiTheme="minorEastAsia" w:eastAsiaTheme="minorEastAsia" w:cstheme="minorEastAsia"/>
          <w:sz w:val="24"/>
          <w:szCs w:val="24"/>
          <w:highlight w:val="none"/>
          <w:lang w:val="en-US" w:eastAsia="zh-CN"/>
        </w:rPr>
        <w:t>完成</w:t>
      </w:r>
      <w:r>
        <w:rPr>
          <w:rFonts w:hint="eastAsia" w:asciiTheme="minorEastAsia" w:hAnsiTheme="minorEastAsia" w:eastAsiaTheme="minorEastAsia" w:cstheme="minorEastAsia"/>
          <w:sz w:val="24"/>
          <w:szCs w:val="24"/>
          <w:highlight w:val="none"/>
          <w:lang w:eastAsia="zh-CN"/>
        </w:rPr>
        <w:t>之日起且采购人收到中选人</w:t>
      </w:r>
      <w:r>
        <w:rPr>
          <w:rFonts w:hint="eastAsia" w:asciiTheme="minorEastAsia" w:hAnsiTheme="minorEastAsia" w:eastAsiaTheme="minorEastAsia" w:cstheme="minorEastAsia"/>
          <w:sz w:val="24"/>
          <w:szCs w:val="24"/>
          <w:highlight w:val="none"/>
          <w:lang w:val="en-US" w:eastAsia="zh-CN"/>
        </w:rPr>
        <w:t>按采购人的要求</w:t>
      </w:r>
      <w:r>
        <w:rPr>
          <w:rFonts w:hint="eastAsia" w:asciiTheme="minorEastAsia" w:hAnsiTheme="minorEastAsia" w:eastAsiaTheme="minorEastAsia" w:cstheme="minorEastAsia"/>
          <w:sz w:val="24"/>
          <w:szCs w:val="24"/>
          <w:highlight w:val="none"/>
          <w:lang w:eastAsia="zh-CN"/>
        </w:rPr>
        <w:t>提供发票后15个工作日内，采购人以银行转账方式向中选人一次性支付该项目采购金额。</w:t>
      </w:r>
    </w:p>
    <w:p w14:paraId="47247852">
      <w:pPr>
        <w:keepNext w:val="0"/>
        <w:keepLines w:val="0"/>
        <w:pageBreakBefore w:val="0"/>
        <w:numPr>
          <w:ilvl w:val="0"/>
          <w:numId w:val="3"/>
        </w:numPr>
        <w:kinsoku/>
        <w:wordWrap/>
        <w:overflowPunct/>
        <w:topLinePunct w:val="0"/>
        <w:autoSpaceDE/>
        <w:autoSpaceDN/>
        <w:bidi w:val="0"/>
        <w:spacing w:line="440" w:lineRule="exact"/>
        <w:ind w:firstLine="482" w:firstLineChars="200"/>
        <w:textAlignment w:val="auto"/>
        <w:rPr>
          <w:rFonts w:hint="eastAsia" w:asciiTheme="minorEastAsia" w:hAnsi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服务期</w:t>
      </w:r>
      <w:r>
        <w:rPr>
          <w:rFonts w:hint="eastAsia" w:asciiTheme="minorEastAsia" w:hAnsiTheme="minorEastAsia" w:cstheme="minorEastAsia"/>
          <w:b/>
          <w:bCs/>
          <w:sz w:val="24"/>
          <w:szCs w:val="24"/>
          <w:highlight w:val="none"/>
          <w:lang w:val="en-US" w:eastAsia="zh-CN"/>
        </w:rPr>
        <w:t>及相关要求</w:t>
      </w:r>
    </w:p>
    <w:p w14:paraId="48CB1CC8">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sz w:val="44"/>
          <w:szCs w:val="44"/>
        </w:rPr>
      </w:pPr>
      <w:r>
        <w:rPr>
          <w:rFonts w:hint="eastAsia" w:asciiTheme="minorEastAsia" w:hAnsiTheme="minorEastAsia" w:eastAsiaTheme="minorEastAsia" w:cstheme="minorEastAsia"/>
          <w:kern w:val="2"/>
          <w:sz w:val="24"/>
          <w:szCs w:val="24"/>
          <w:highlight w:val="none"/>
          <w:lang w:val="en-US" w:eastAsia="zh-CN" w:bidi="ar-SA"/>
        </w:rPr>
        <w:t>自</w:t>
      </w:r>
      <w:r>
        <w:rPr>
          <w:rFonts w:hint="eastAsia" w:asciiTheme="minorEastAsia" w:hAnsiTheme="minorEastAsia" w:cstheme="minorEastAsia"/>
          <w:kern w:val="2"/>
          <w:sz w:val="24"/>
          <w:szCs w:val="24"/>
          <w:highlight w:val="none"/>
          <w:lang w:val="en-US" w:eastAsia="zh-CN" w:bidi="ar-SA"/>
        </w:rPr>
        <w:t>项目</w:t>
      </w:r>
      <w:r>
        <w:rPr>
          <w:rFonts w:hint="eastAsia" w:asciiTheme="minorEastAsia" w:hAnsiTheme="minorEastAsia" w:eastAsiaTheme="minorEastAsia" w:cstheme="minorEastAsia"/>
          <w:kern w:val="2"/>
          <w:sz w:val="24"/>
          <w:szCs w:val="24"/>
          <w:highlight w:val="none"/>
          <w:lang w:val="en-US" w:eastAsia="zh-CN" w:bidi="ar-SA"/>
        </w:rPr>
        <w:t>合同签订之日起至项目</w:t>
      </w:r>
      <w:r>
        <w:rPr>
          <w:rFonts w:hint="eastAsia" w:asciiTheme="minorEastAsia" w:hAnsiTheme="minorEastAsia" w:cstheme="minorEastAsia"/>
          <w:kern w:val="2"/>
          <w:sz w:val="24"/>
          <w:szCs w:val="24"/>
          <w:highlight w:val="none"/>
          <w:lang w:val="en-US" w:eastAsia="zh-CN" w:bidi="ar-SA"/>
        </w:rPr>
        <w:t>服务跟踪期（</w:t>
      </w:r>
      <w:r>
        <w:rPr>
          <w:rFonts w:hint="default" w:asciiTheme="minorEastAsia" w:hAnsiTheme="minorEastAsia" w:eastAsiaTheme="minorEastAsia" w:cstheme="minorEastAsia"/>
          <w:kern w:val="2"/>
          <w:sz w:val="24"/>
          <w:szCs w:val="24"/>
          <w:highlight w:val="none"/>
          <w:lang w:val="en-US" w:eastAsia="zh-CN" w:bidi="ar-SA"/>
        </w:rPr>
        <w:t>自服务项目内容完成之日起开始计算一年的服务跟踪期</w:t>
      </w:r>
      <w:r>
        <w:rPr>
          <w:rFonts w:hint="eastAsia" w:asciiTheme="minorEastAsia" w:hAnsiTheme="minorEastAsia" w:cstheme="minorEastAsia"/>
          <w:kern w:val="2"/>
          <w:sz w:val="24"/>
          <w:szCs w:val="24"/>
          <w:highlight w:val="none"/>
          <w:lang w:val="en-US" w:eastAsia="zh-CN" w:bidi="ar-SA"/>
        </w:rPr>
        <w:t>）止</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cstheme="minorEastAsia"/>
          <w:kern w:val="2"/>
          <w:sz w:val="24"/>
          <w:szCs w:val="24"/>
          <w:highlight w:val="none"/>
          <w:lang w:val="en-US" w:eastAsia="zh-CN" w:bidi="ar-SA"/>
        </w:rPr>
        <w:t>中选人需在</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2025年7月31日</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前</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完成服务项目</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全部</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内容，</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服务</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直至2026年7月30日结束</w:t>
      </w:r>
      <w:r>
        <w:rPr>
          <w:rFonts w:hint="default" w:asciiTheme="minorEastAsia" w:hAnsiTheme="minorEastAsia" w:eastAsiaTheme="minorEastAsia" w:cstheme="minorEastAsia"/>
          <w:kern w:val="2"/>
          <w:sz w:val="24"/>
          <w:szCs w:val="24"/>
          <w:highlight w:val="none"/>
          <w:lang w:val="en-US" w:eastAsia="zh-CN" w:bidi="ar-SA"/>
        </w:rPr>
        <w:t>。</w:t>
      </w:r>
    </w:p>
    <w:p w14:paraId="17251867">
      <w:pPr>
        <w:rPr>
          <w:rFonts w:hint="eastAsia"/>
        </w:rPr>
      </w:pPr>
    </w:p>
    <w:p w14:paraId="00F5E553">
      <w:pPr>
        <w:pStyle w:val="16"/>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22D24F4C">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14:paraId="7CD7FEA4">
      <w:pPr>
        <w:pStyle w:val="16"/>
        <w:keepNext w:val="0"/>
        <w:keepLines w:val="0"/>
        <w:pageBreakBefore w:val="0"/>
        <w:kinsoku/>
        <w:wordWrap/>
        <w:overflowPunct/>
        <w:topLinePunct w:val="0"/>
        <w:autoSpaceDE/>
        <w:autoSpaceDN/>
        <w:bidi w:val="0"/>
        <w:spacing w:beforeLines="0" w:after="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5B404EA6">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二、评审</w:t>
      </w:r>
      <w:r>
        <w:rPr>
          <w:rFonts w:hint="eastAsia" w:ascii="宋体" w:hAnsi="宋体" w:cs="宋体"/>
          <w:sz w:val="24"/>
          <w:highlight w:val="none"/>
          <w:lang w:val="en-US" w:eastAsia="zh-CN"/>
        </w:rPr>
        <w:t>流程</w:t>
      </w:r>
    </w:p>
    <w:p w14:paraId="6E576560">
      <w:pPr>
        <w:adjustRightInd w:val="0"/>
        <w:snapToGrid w:val="0"/>
        <w:spacing w:beforeLines="0" w:afterLines="0" w:line="400" w:lineRule="exact"/>
        <w:ind w:firstLine="480" w:firstLineChars="200"/>
        <w:rPr>
          <w:rFonts w:ascii="宋体" w:hAnsi="宋体" w:cs="宋体"/>
          <w:sz w:val="24"/>
          <w:highlight w:val="none"/>
        </w:rPr>
      </w:pPr>
      <w:r>
        <w:rPr>
          <w:rFonts w:hint="eastAsia" w:ascii="宋体" w:hAnsi="宋体" w:cs="宋体"/>
          <w:sz w:val="24"/>
          <w:highlight w:val="none"/>
        </w:rPr>
        <w:t>资格评审+综合评审，共2个环节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才能进入综合评审。</w:t>
      </w:r>
      <w:r>
        <w:rPr>
          <w:rFonts w:hint="eastAsia" w:ascii="宋体" w:hAnsi="宋体" w:cs="宋体"/>
          <w:sz w:val="24"/>
          <w:highlight w:val="none"/>
          <w:lang w:val="en-US" w:eastAsia="zh-CN"/>
        </w:rPr>
        <w:t>最后评标委员会排序推荐中选候选人。</w:t>
      </w:r>
    </w:p>
    <w:p w14:paraId="1A4C0932">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14:paraId="30A58A2B">
      <w:pPr>
        <w:pStyle w:val="16"/>
        <w:keepNext w:val="0"/>
        <w:keepLines w:val="0"/>
        <w:pageBreakBefore w:val="0"/>
        <w:kinsoku/>
        <w:wordWrap/>
        <w:overflowPunct/>
        <w:topLinePunct w:val="0"/>
        <w:autoSpaceDE/>
        <w:autoSpaceDN/>
        <w:bidi w:val="0"/>
        <w:spacing w:beforeLines="0" w:after="0" w:afterLines="0" w:line="400" w:lineRule="exact"/>
        <w:ind w:firstLine="480" w:firstLineChars="200"/>
        <w:textAlignment w:val="auto"/>
        <w:outlineLvl w:val="9"/>
        <w:rPr>
          <w:rFonts w:hint="eastAsia" w:ascii="宋体" w:hAnsi="宋体" w:cs="宋体" w:eastAsiaTheme="minorEastAsia"/>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对供应</w:t>
      </w:r>
      <w:r>
        <w:rPr>
          <w:rFonts w:hint="eastAsia" w:ascii="宋体" w:hAnsi="宋体" w:cs="宋体"/>
          <w:sz w:val="24"/>
          <w:highlight w:val="none"/>
          <w:lang w:eastAsia="zh-CN"/>
        </w:rPr>
        <w:t>商</w:t>
      </w:r>
      <w:r>
        <w:rPr>
          <w:rFonts w:hint="eastAsia" w:ascii="宋体" w:hAnsi="宋体" w:cs="宋体"/>
          <w:sz w:val="24"/>
          <w:highlight w:val="none"/>
        </w:rPr>
        <w:t>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供应商有资格进入下一阶段的评审，否则将被淘汰。《资格评审表》全部合格的参评供应商方可进入综合评审环节</w:t>
      </w:r>
      <w:r>
        <w:rPr>
          <w:rFonts w:hint="eastAsia" w:ascii="宋体" w:hAnsi="宋体" w:cs="宋体"/>
          <w:sz w:val="24"/>
          <w:highlight w:val="none"/>
        </w:rPr>
        <w:t>。</w:t>
      </w:r>
    </w:p>
    <w:p w14:paraId="383480E4">
      <w:pPr>
        <w:keepNext w:val="0"/>
        <w:keepLines w:val="0"/>
        <w:pageBreakBefore w:val="0"/>
        <w:widowControl/>
        <w:kinsoku/>
        <w:wordWrap/>
        <w:overflowPunct/>
        <w:topLinePunct w:val="0"/>
        <w:autoSpaceDE/>
        <w:autoSpaceDN/>
        <w:bidi w:val="0"/>
        <w:spacing w:beforeLines="0" w:afterLines="0" w:line="400" w:lineRule="exact"/>
        <w:ind w:firstLine="480" w:firstLineChars="200"/>
        <w:jc w:val="left"/>
        <w:textAlignment w:val="auto"/>
        <w:outlineLvl w:val="9"/>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w:t>
      </w:r>
      <w:r>
        <w:rPr>
          <w:rFonts w:hint="eastAsia" w:ascii="宋体" w:hAnsi="宋体" w:cs="宋体"/>
          <w:sz w:val="24"/>
          <w:szCs w:val="24"/>
          <w:highlight w:val="none"/>
        </w:rPr>
        <w:t>技术商务评审</w:t>
      </w:r>
      <w:r>
        <w:rPr>
          <w:rFonts w:ascii="宋体" w:hAnsi="宋体" w:cs="宋体"/>
          <w:sz w:val="24"/>
          <w:szCs w:val="24"/>
          <w:highlight w:val="none"/>
        </w:rPr>
        <w:t>+价格评审，评分满分为100分，评分分配如下</w:t>
      </w:r>
      <w:r>
        <w:rPr>
          <w:rFonts w:hint="eastAsia" w:ascii="宋体" w:hAnsi="宋体" w:cs="宋体"/>
          <w:sz w:val="24"/>
          <w:szCs w:val="24"/>
          <w:highlight w:val="none"/>
        </w:rPr>
        <w:t>：</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390FBBC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14:paraId="6C54F6AD">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14:paraId="1C8FBB25">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14:paraId="65B346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14:paraId="1FE43636">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0分</w:t>
            </w:r>
          </w:p>
        </w:tc>
        <w:tc>
          <w:tcPr>
            <w:tcW w:w="2536" w:type="dxa"/>
            <w:tcBorders>
              <w:tl2br w:val="nil"/>
              <w:tr2bl w:val="nil"/>
            </w:tcBorders>
            <w:vAlign w:val="center"/>
          </w:tcPr>
          <w:p w14:paraId="2E4607B9">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4</w:t>
            </w:r>
            <w:r>
              <w:rPr>
                <w:rFonts w:hint="eastAsia" w:ascii="宋体" w:hAnsi="宋体" w:cs="宋体"/>
                <w:b/>
                <w:bCs/>
                <w:szCs w:val="21"/>
                <w:highlight w:val="none"/>
              </w:rPr>
              <w:t>0分</w:t>
            </w:r>
          </w:p>
        </w:tc>
      </w:tr>
    </w:tbl>
    <w:p w14:paraId="0C6AC4DE">
      <w:pPr>
        <w:keepNext w:val="0"/>
        <w:keepLines w:val="0"/>
        <w:pageBreakBefore w:val="0"/>
        <w:kinsoku/>
        <w:overflowPunct/>
        <w:topLinePunct w:val="0"/>
        <w:bidi w:val="0"/>
        <w:adjustRightInd w:val="0"/>
        <w:snapToGrid w:val="0"/>
        <w:spacing w:beforeLines="0" w:afterLines="0" w:line="400" w:lineRule="exact"/>
        <w:ind w:firstLine="480" w:firstLineChars="200"/>
        <w:jc w:val="left"/>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14:paraId="1F9DBE6C">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6843CD45">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w:t>
      </w:r>
      <w:r>
        <w:rPr>
          <w:rFonts w:hint="eastAsia" w:ascii="宋体" w:hAnsi="宋体" w:cs="宋体"/>
          <w:sz w:val="24"/>
          <w:highlight w:val="none"/>
          <w:lang w:val="en-US" w:eastAsia="zh-CN"/>
        </w:rPr>
        <w:t>供应商</w:t>
      </w:r>
      <w:r>
        <w:rPr>
          <w:rFonts w:hint="eastAsia" w:ascii="宋体" w:hAnsi="宋体" w:cs="宋体"/>
          <w:sz w:val="24"/>
          <w:highlight w:val="none"/>
        </w:rPr>
        <w:t>进行价格评分，将评标委员会校核后的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w:t>
      </w:r>
      <w:r>
        <w:rPr>
          <w:rFonts w:hint="eastAsia" w:ascii="宋体" w:hAnsi="宋体" w:cs="宋体"/>
          <w:sz w:val="24"/>
          <w:highlight w:val="none"/>
          <w:lang w:val="en-US" w:eastAsia="zh-CN"/>
        </w:rPr>
        <w:t>以最低的评标价格为基准价格，分数=（基准价÷报价）×40分，</w:t>
      </w:r>
      <w:r>
        <w:rPr>
          <w:rFonts w:hint="eastAsia" w:ascii="宋体" w:hAnsi="宋体" w:cs="宋体"/>
          <w:sz w:val="24"/>
          <w:highlight w:val="none"/>
        </w:rPr>
        <w:t>分数精确到小数点后2位。</w:t>
      </w:r>
    </w:p>
    <w:p w14:paraId="650CB417">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w:t>
      </w:r>
      <w:r>
        <w:rPr>
          <w:rFonts w:hint="eastAsia" w:ascii="宋体" w:hAnsi="宋体" w:cs="宋体"/>
          <w:sz w:val="24"/>
          <w:highlight w:val="none"/>
          <w:lang w:val="en-US" w:eastAsia="zh-CN"/>
        </w:rPr>
        <w:t>供应商</w:t>
      </w:r>
      <w:r>
        <w:rPr>
          <w:rFonts w:hint="eastAsia" w:ascii="宋体" w:hAnsi="宋体" w:cs="宋体"/>
          <w:sz w:val="24"/>
          <w:highlight w:val="none"/>
        </w:rPr>
        <w:t>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14:paraId="390D5B90">
      <w:pPr>
        <w:pStyle w:val="16"/>
        <w:keepNext w:val="0"/>
        <w:keepLines w:val="0"/>
        <w:pageBreakBefore w:val="0"/>
        <w:widowControl/>
        <w:kinsoku/>
        <w:wordWrap/>
        <w:overflowPunct/>
        <w:topLinePunct w:val="0"/>
        <w:autoSpaceDE/>
        <w:autoSpaceDN/>
        <w:bidi w:val="0"/>
        <w:spacing w:beforeLines="0" w:after="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14:paraId="4E87155D">
      <w:pPr>
        <w:pStyle w:val="16"/>
        <w:spacing w:beforeLines="0" w:after="0" w:afterLines="0" w:line="4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0E2D7620">
      <w:pPr>
        <w:pStyle w:val="16"/>
        <w:spacing w:beforeLines="0" w:after="0" w:afterLines="0" w:line="4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05E894D7">
      <w:pPr>
        <w:pStyle w:val="16"/>
        <w:widowControl/>
        <w:spacing w:beforeLines="0" w:afterLines="0" w:line="400" w:lineRule="exact"/>
        <w:ind w:firstLine="480" w:firstLineChars="200"/>
        <w:rPr>
          <w:rFonts w:hint="eastAsia" w:ascii="宋体" w:hAnsi="宋体" w:cs="宋体"/>
          <w:sz w:val="24"/>
          <w:szCs w:val="24"/>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根据综合评审得分，得分最高的参评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中选</w:t>
      </w:r>
      <w:r>
        <w:rPr>
          <w:rFonts w:hint="eastAsia" w:ascii="宋体" w:hAnsi="宋体" w:cs="宋体"/>
          <w:bCs/>
          <w:snapToGrid w:val="0"/>
          <w:kern w:val="0"/>
          <w:sz w:val="24"/>
          <w:highlight w:val="none"/>
        </w:rPr>
        <w:t>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，以此类推。</w:t>
      </w:r>
    </w:p>
    <w:p w14:paraId="414C3F66">
      <w:pPr>
        <w:pStyle w:val="16"/>
        <w:widowControl/>
        <w:spacing w:line="560" w:lineRule="exact"/>
        <w:ind w:firstLine="480" w:firstLineChars="200"/>
      </w:pPr>
      <w:r>
        <w:rPr>
          <w:rFonts w:hint="eastAsia" w:ascii="宋体" w:hAnsi="宋体" w:cs="宋体"/>
          <w:sz w:val="24"/>
          <w:szCs w:val="24"/>
          <w:lang w:val="en-US" w:eastAsia="zh-CN"/>
        </w:rPr>
        <w:t>五</w:t>
      </w:r>
      <w:r>
        <w:rPr>
          <w:rFonts w:hint="eastAsia" w:ascii="宋体" w:hAnsi="宋体" w:cs="宋体" w:eastAsiaTheme="minorEastAsia"/>
          <w:sz w:val="24"/>
          <w:szCs w:val="24"/>
        </w:rPr>
        <w:t>、资格评审表</w:t>
      </w:r>
    </w:p>
    <w:p w14:paraId="1C327728">
      <w:pPr>
        <w:adjustRightInd w:val="0"/>
        <w:snapToGrid w:val="0"/>
        <w:spacing w:line="560" w:lineRule="exact"/>
        <w:jc w:val="center"/>
        <w:rPr>
          <w:rFonts w:hint="eastAsia" w:ascii="宋体" w:hAnsi="宋体" w:eastAsia="宋体" w:cs="宋体"/>
          <w:szCs w:val="21"/>
        </w:rPr>
      </w:pPr>
      <w:r>
        <w:rPr>
          <w:rFonts w:hint="eastAsia" w:ascii="宋体" w:hAnsi="宋体" w:eastAsia="宋体" w:cs="宋体"/>
          <w:b/>
          <w:bCs/>
          <w:sz w:val="36"/>
          <w:szCs w:val="36"/>
        </w:rPr>
        <w:t>资格评审表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927"/>
        <w:gridCol w:w="878"/>
        <w:gridCol w:w="862"/>
        <w:gridCol w:w="848"/>
        <w:gridCol w:w="675"/>
      </w:tblGrid>
      <w:tr w14:paraId="4B1D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0" w:type="pct"/>
            <w:vAlign w:val="center"/>
          </w:tcPr>
          <w:p w14:paraId="37A0197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序号</w:t>
            </w:r>
          </w:p>
        </w:tc>
        <w:tc>
          <w:tcPr>
            <w:tcW w:w="2766" w:type="pct"/>
            <w:vAlign w:val="center"/>
          </w:tcPr>
          <w:p w14:paraId="20AE0A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评审内容</w:t>
            </w:r>
          </w:p>
        </w:tc>
        <w:tc>
          <w:tcPr>
            <w:tcW w:w="493" w:type="pct"/>
            <w:vAlign w:val="center"/>
          </w:tcPr>
          <w:p w14:paraId="616171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A</w:t>
            </w:r>
          </w:p>
        </w:tc>
        <w:tc>
          <w:tcPr>
            <w:tcW w:w="484" w:type="pct"/>
            <w:vAlign w:val="center"/>
          </w:tcPr>
          <w:p w14:paraId="3CC494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B</w:t>
            </w:r>
          </w:p>
        </w:tc>
        <w:tc>
          <w:tcPr>
            <w:tcW w:w="476" w:type="pct"/>
            <w:vAlign w:val="center"/>
          </w:tcPr>
          <w:p w14:paraId="11D496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C</w:t>
            </w:r>
          </w:p>
        </w:tc>
        <w:tc>
          <w:tcPr>
            <w:tcW w:w="379" w:type="pct"/>
            <w:vAlign w:val="center"/>
          </w:tcPr>
          <w:p w14:paraId="30CB17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w:t>
            </w:r>
          </w:p>
        </w:tc>
      </w:tr>
      <w:tr w14:paraId="4D8E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00" w:type="pct"/>
            <w:shd w:val="clear" w:color="auto" w:fill="auto"/>
            <w:vAlign w:val="center"/>
          </w:tcPr>
          <w:p w14:paraId="4FB1E13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1</w:t>
            </w:r>
          </w:p>
        </w:tc>
        <w:tc>
          <w:tcPr>
            <w:tcW w:w="2766" w:type="pct"/>
            <w:shd w:val="clear" w:color="auto" w:fill="auto"/>
            <w:vAlign w:val="center"/>
          </w:tcPr>
          <w:p w14:paraId="0101027B">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具有独立承担民事责任能力的在中华人民共和国境内注册的企业法人或其他社会组织，提供营业执照等。</w:t>
            </w:r>
          </w:p>
        </w:tc>
        <w:tc>
          <w:tcPr>
            <w:tcW w:w="493" w:type="pct"/>
            <w:vAlign w:val="center"/>
          </w:tcPr>
          <w:p w14:paraId="0D1181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07E1CB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11AA95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21BB5D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3E7F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shd w:val="clear" w:color="auto" w:fill="auto"/>
            <w:vAlign w:val="center"/>
          </w:tcPr>
          <w:p w14:paraId="5B1EBAA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2</w:t>
            </w:r>
          </w:p>
        </w:tc>
        <w:tc>
          <w:tcPr>
            <w:tcW w:w="2766" w:type="pct"/>
            <w:shd w:val="clear" w:color="auto" w:fill="auto"/>
            <w:vAlign w:val="center"/>
          </w:tcPr>
          <w:p w14:paraId="4F2359B3">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经营范围经营范围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至少包括企业管理、企业管理咨询、社会经济咨询服务等其中一项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，提供营业执照等。</w:t>
            </w:r>
          </w:p>
        </w:tc>
        <w:tc>
          <w:tcPr>
            <w:tcW w:w="493" w:type="pct"/>
            <w:vAlign w:val="center"/>
          </w:tcPr>
          <w:p w14:paraId="6FDA6B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397241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572FE2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45FB56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4F6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58ED179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3</w:t>
            </w:r>
          </w:p>
        </w:tc>
        <w:tc>
          <w:tcPr>
            <w:tcW w:w="2766" w:type="pct"/>
            <w:shd w:val="clear" w:color="auto" w:fill="auto"/>
            <w:vAlign w:val="center"/>
          </w:tcPr>
          <w:p w14:paraId="4A3E056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供应商承诺不得以任何方式转包或分包本项目。</w:t>
            </w:r>
          </w:p>
        </w:tc>
        <w:tc>
          <w:tcPr>
            <w:tcW w:w="493" w:type="pct"/>
            <w:vAlign w:val="center"/>
          </w:tcPr>
          <w:p w14:paraId="68A9E4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3EE02F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7ACD6F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6A462E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38B4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11A4D6C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4</w:t>
            </w:r>
          </w:p>
        </w:tc>
        <w:tc>
          <w:tcPr>
            <w:tcW w:w="2766" w:type="pct"/>
            <w:shd w:val="clear" w:color="auto" w:fill="auto"/>
            <w:vAlign w:val="center"/>
          </w:tcPr>
          <w:p w14:paraId="72F23D4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参评供应商满足本项目的主要需求，填写《需求响应表》并全部完全响应，无负偏离。</w:t>
            </w:r>
          </w:p>
        </w:tc>
        <w:tc>
          <w:tcPr>
            <w:tcW w:w="493" w:type="pct"/>
            <w:vAlign w:val="center"/>
          </w:tcPr>
          <w:p w14:paraId="24970C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2A305B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051C12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4C3142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2640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423A40F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5</w:t>
            </w:r>
          </w:p>
        </w:tc>
        <w:tc>
          <w:tcPr>
            <w:tcW w:w="2766" w:type="pct"/>
            <w:shd w:val="clear" w:color="auto" w:fill="auto"/>
            <w:vAlign w:val="center"/>
          </w:tcPr>
          <w:p w14:paraId="04F124C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非联合体潜在供应商参评报价。</w:t>
            </w:r>
          </w:p>
        </w:tc>
        <w:tc>
          <w:tcPr>
            <w:tcW w:w="493" w:type="pct"/>
            <w:vAlign w:val="center"/>
          </w:tcPr>
          <w:p w14:paraId="11E595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0C60C6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2B384A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2CADA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7CC4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7970164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6</w:t>
            </w:r>
          </w:p>
        </w:tc>
        <w:tc>
          <w:tcPr>
            <w:tcW w:w="2766" w:type="pct"/>
            <w:shd w:val="clear" w:color="auto" w:fill="auto"/>
            <w:vAlign w:val="center"/>
          </w:tcPr>
          <w:p w14:paraId="6D76B4D8">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报价为唯一固定价且未超过报价限价。</w:t>
            </w:r>
          </w:p>
        </w:tc>
        <w:tc>
          <w:tcPr>
            <w:tcW w:w="493" w:type="pct"/>
            <w:vAlign w:val="center"/>
          </w:tcPr>
          <w:p w14:paraId="094546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07CB9C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7E859E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653CA3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5F5C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0" w:type="pct"/>
            <w:shd w:val="clear" w:color="auto" w:fill="auto"/>
            <w:vAlign w:val="center"/>
          </w:tcPr>
          <w:p w14:paraId="0CB3E2C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7</w:t>
            </w:r>
          </w:p>
        </w:tc>
        <w:tc>
          <w:tcPr>
            <w:tcW w:w="2766" w:type="pct"/>
            <w:shd w:val="clear" w:color="auto" w:fill="auto"/>
            <w:vAlign w:val="center"/>
          </w:tcPr>
          <w:p w14:paraId="3A3DECB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符合采购文件要求的其他条件（如</w:t>
            </w:r>
            <w:r>
              <w:rPr>
                <w:rFonts w:hint="eastAsia" w:asciiTheme="minorEastAsia" w:hAnsiTheme="minorEastAsia" w:eastAsiaTheme="minorEastAsia" w:cstheme="minorEastAsia"/>
                <w:sz w:val="21"/>
                <w:szCs w:val="21"/>
                <w:highlight w:val="none"/>
                <w:lang w:val="en-US" w:eastAsia="zh-CN"/>
              </w:rPr>
              <w:t>装订要求、</w:t>
            </w:r>
            <w:r>
              <w:rPr>
                <w:rFonts w:hint="eastAsia" w:asciiTheme="minorEastAsia" w:hAnsiTheme="minorEastAsia" w:eastAsiaTheme="minorEastAsia" w:cstheme="minorEastAsia"/>
                <w:sz w:val="21"/>
                <w:szCs w:val="21"/>
                <w:highlight w:val="none"/>
              </w:rPr>
              <w:t>盖章签署</w:t>
            </w:r>
            <w:r>
              <w:rPr>
                <w:rFonts w:hint="eastAsia" w:asciiTheme="minorEastAsia" w:hAnsiTheme="minorEastAsia" w:eastAsiaTheme="minorEastAsia" w:cstheme="minorEastAsia"/>
                <w:sz w:val="21"/>
                <w:szCs w:val="21"/>
                <w:highlight w:val="none"/>
                <w:lang w:val="en-US" w:eastAsia="zh-CN"/>
              </w:rPr>
              <w:t>要求</w:t>
            </w:r>
            <w:r>
              <w:rPr>
                <w:rFonts w:hint="eastAsia" w:asciiTheme="minorEastAsia" w:hAnsiTheme="minorEastAsia" w:eastAsiaTheme="minorEastAsia" w:cstheme="minorEastAsia"/>
                <w:sz w:val="21"/>
                <w:szCs w:val="21"/>
                <w:highlight w:val="none"/>
              </w:rPr>
              <w:t>等）。</w:t>
            </w:r>
          </w:p>
        </w:tc>
        <w:tc>
          <w:tcPr>
            <w:tcW w:w="493" w:type="pct"/>
            <w:vAlign w:val="center"/>
          </w:tcPr>
          <w:p w14:paraId="222E22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5A5DBC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685700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6A00DE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6E88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67" w:type="pct"/>
            <w:gridSpan w:val="2"/>
            <w:vAlign w:val="center"/>
          </w:tcPr>
          <w:p w14:paraId="3A3F7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rPr>
            </w:pPr>
            <w:r>
              <w:rPr>
                <w:rFonts w:hint="eastAsia" w:asciiTheme="minorEastAsia" w:hAnsiTheme="minorEastAsia" w:eastAsiaTheme="minorEastAsia" w:cstheme="minorEastAsia"/>
                <w:sz w:val="21"/>
                <w:szCs w:val="21"/>
                <w:highlight w:val="none"/>
              </w:rPr>
              <w:t>评审结论</w:t>
            </w:r>
          </w:p>
        </w:tc>
        <w:tc>
          <w:tcPr>
            <w:tcW w:w="493" w:type="pct"/>
            <w:vAlign w:val="center"/>
          </w:tcPr>
          <w:p w14:paraId="3C50EF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tcPr>
          <w:p w14:paraId="4D010E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68BB3B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351EE6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1467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167" w:type="pct"/>
            <w:gridSpan w:val="2"/>
            <w:vAlign w:val="center"/>
          </w:tcPr>
          <w:p w14:paraId="256134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rPr>
            </w:pPr>
            <w:r>
              <w:rPr>
                <w:rFonts w:hint="eastAsia" w:asciiTheme="minorEastAsia" w:hAnsiTheme="minorEastAsia" w:eastAsiaTheme="minorEastAsia" w:cstheme="minorEastAsia"/>
                <w:sz w:val="21"/>
                <w:szCs w:val="21"/>
                <w:highlight w:val="none"/>
              </w:rPr>
              <w:t>不通过原因</w:t>
            </w:r>
          </w:p>
        </w:tc>
        <w:tc>
          <w:tcPr>
            <w:tcW w:w="493" w:type="pct"/>
            <w:vAlign w:val="center"/>
          </w:tcPr>
          <w:p w14:paraId="4DA7E6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270ADC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430F5D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43B952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bl>
    <w:p w14:paraId="6C3838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308A2D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评标委员会</w:t>
      </w:r>
      <w:r>
        <w:rPr>
          <w:rFonts w:hint="eastAsia" w:asciiTheme="minorEastAsia" w:hAnsiTheme="minorEastAsia" w:eastAsiaTheme="minorEastAsia" w:cstheme="minorEastAsia"/>
          <w:sz w:val="24"/>
          <w:szCs w:val="24"/>
        </w:rPr>
        <w:t>对潜在</w:t>
      </w:r>
      <w:r>
        <w:rPr>
          <w:rFonts w:hint="eastAsia" w:asciiTheme="minorEastAsia" w:hAnsiTheme="minorEastAsia" w:eastAsiaTheme="minorEastAsia" w:cstheme="minorEastAsia"/>
          <w:sz w:val="24"/>
          <w:szCs w:val="24"/>
          <w:lang w:val="en-US" w:eastAsia="zh-CN"/>
        </w:rPr>
        <w:t>供应</w:t>
      </w:r>
      <w:r>
        <w:rPr>
          <w:rFonts w:hint="eastAsia" w:asciiTheme="minorEastAsia" w:hAnsiTheme="minorEastAsia" w:eastAsiaTheme="minorEastAsia" w:cstheme="minorEastAsia"/>
          <w:sz w:val="24"/>
          <w:szCs w:val="24"/>
        </w:rPr>
        <w:t>商是否满足要求逐条标注评审意见，符合的打“〇”，不符合的打“×”；</w:t>
      </w:r>
    </w:p>
    <w:p w14:paraId="6541BC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2．全部打“〇”的，评审结论栏填写“通过”；出现一项“×”，评审结论填写“不通过”，对评审结论为“不通过”的要说明原因。</w:t>
      </w:r>
    </w:p>
    <w:p w14:paraId="73AE34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3．评审结论为“通过”的，方可参与下一阶段的评审。</w:t>
      </w:r>
    </w:p>
    <w:p w14:paraId="101F324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lang w:val="en-US" w:eastAsia="zh-CN"/>
        </w:rPr>
      </w:pPr>
    </w:p>
    <w:p w14:paraId="6A5829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评标委员会</w:t>
      </w:r>
      <w:r>
        <w:rPr>
          <w:rFonts w:hint="eastAsia" w:asciiTheme="minorEastAsia" w:hAnsiTheme="minorEastAsia" w:eastAsiaTheme="minorEastAsia" w:cstheme="minorEastAsia"/>
          <w:sz w:val="24"/>
          <w:szCs w:val="24"/>
        </w:rPr>
        <w:t xml:space="preserve">全体成员签名：                                      </w:t>
      </w:r>
    </w:p>
    <w:p w14:paraId="672FF3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sectPr>
          <w:headerReference r:id="rId7" w:type="first"/>
          <w:footerReference r:id="rId9" w:type="first"/>
          <w:headerReference r:id="rId6" w:type="default"/>
          <w:footerReference r:id="rId8" w:type="default"/>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Theme="minorEastAsia" w:hAnsiTheme="minorEastAsia" w:eastAsiaTheme="minorEastAsia" w:cstheme="minorEastAsia"/>
          <w:sz w:val="24"/>
          <w:szCs w:val="24"/>
        </w:rPr>
        <w:t>评审日期</w:t>
      </w:r>
      <w:r>
        <w:rPr>
          <w:rFonts w:hint="eastAsia" w:asciiTheme="minorEastAsia" w:hAnsiTheme="minorEastAsia" w:cstheme="minorEastAsia"/>
          <w:sz w:val="24"/>
          <w:szCs w:val="24"/>
          <w:lang w:eastAsia="zh-CN"/>
        </w:rPr>
        <w:t>：</w:t>
      </w:r>
    </w:p>
    <w:p w14:paraId="04615564">
      <w:pPr>
        <w:widowControl/>
        <w:spacing w:line="560" w:lineRule="exact"/>
        <w:jc w:val="left"/>
        <w:rPr>
          <w:rFonts w:ascii="宋体" w:hAnsi="宋体" w:cs="宋体"/>
          <w:b/>
          <w:bCs/>
          <w:sz w:val="44"/>
          <w:szCs w:val="44"/>
        </w:rPr>
      </w:pPr>
      <w:r>
        <w:rPr>
          <w:rFonts w:hint="eastAsia" w:ascii="宋体" w:hAnsi="宋体" w:cs="宋体"/>
          <w:sz w:val="24"/>
          <w:lang w:val="en-US" w:eastAsia="zh-CN"/>
        </w:rPr>
        <w:t>六</w:t>
      </w:r>
      <w:r>
        <w:rPr>
          <w:rFonts w:hint="eastAsia" w:ascii="宋体" w:hAnsi="宋体" w:cs="宋体"/>
          <w:sz w:val="24"/>
        </w:rPr>
        <w:t>、</w:t>
      </w:r>
      <w:r>
        <w:rPr>
          <w:rFonts w:hint="eastAsia" w:ascii="宋体" w:hAnsi="宋体" w:cs="宋体"/>
          <w:sz w:val="24"/>
          <w:highlight w:val="none"/>
        </w:rPr>
        <w:t>技术商务评分表</w:t>
      </w:r>
    </w:p>
    <w:p w14:paraId="518713D4">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14:paraId="5E89B113">
      <w:pPr>
        <w:keepNext w:val="0"/>
        <w:keepLines w:val="0"/>
        <w:pageBreakBefore w:val="0"/>
        <w:numPr>
          <w:ilvl w:val="255"/>
          <w:numId w:val="0"/>
        </w:numPr>
        <w:kinsoku/>
        <w:overflowPunct/>
        <w:topLinePunct w:val="0"/>
        <w:bidi w:val="0"/>
        <w:spacing w:line="440" w:lineRule="exact"/>
        <w:ind w:left="1205" w:hanging="1205" w:hangingChars="500"/>
        <w:jc w:val="left"/>
        <w:outlineLvl w:val="9"/>
        <w:rPr>
          <w:rFonts w:hint="eastAsia" w:ascii="宋体" w:hAnsi="宋体" w:cs="宋体"/>
          <w:color w:val="FF0000"/>
          <w:sz w:val="24"/>
          <w:highlight w:val="none"/>
          <w:lang w:val="en-US" w:eastAsia="zh-CN"/>
        </w:rPr>
      </w:pPr>
      <w:r>
        <w:rPr>
          <w:rFonts w:hint="eastAsia" w:ascii="宋体" w:hAnsi="宋体" w:cs="宋体"/>
          <w:b/>
          <w:bCs/>
          <w:sz w:val="24"/>
          <w:highlight w:val="none"/>
        </w:rPr>
        <w:t>项目名称：</w:t>
      </w:r>
      <w:r>
        <w:rPr>
          <w:rFonts w:hint="eastAsia" w:ascii="宋体" w:hAnsi="宋体" w:cs="宋体"/>
          <w:color w:val="000000" w:themeColor="text1"/>
          <w:sz w:val="24"/>
          <w:highlight w:val="none"/>
          <w14:textFill>
            <w14:solidFill>
              <w14:schemeClr w14:val="tx1"/>
            </w14:solidFill>
          </w14:textFill>
        </w:rPr>
        <w:t>中山市公共交通运输集团有限公司</w:t>
      </w:r>
      <w:r>
        <w:rPr>
          <w:rFonts w:hint="eastAsia" w:ascii="宋体" w:hAnsi="宋体" w:cs="宋体"/>
          <w:color w:val="000000" w:themeColor="text1"/>
          <w:sz w:val="24"/>
          <w:highlight w:val="none"/>
          <w:lang w:val="en-US" w:eastAsia="zh-CN"/>
          <w14:textFill>
            <w14:solidFill>
              <w14:schemeClr w14:val="tx1"/>
            </w14:solidFill>
          </w14:textFill>
        </w:rPr>
        <w:t>市场化板块子公司人才激励约束机制优化咨询项目（第二次）</w:t>
      </w:r>
    </w:p>
    <w:tbl>
      <w:tblPr>
        <w:tblStyle w:val="18"/>
        <w:tblW w:w="13915"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128"/>
        <w:gridCol w:w="797"/>
        <w:gridCol w:w="7264"/>
        <w:gridCol w:w="983"/>
        <w:gridCol w:w="987"/>
        <w:gridCol w:w="1075"/>
        <w:gridCol w:w="963"/>
      </w:tblGrid>
      <w:tr w14:paraId="3AB0E10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718" w:type="dxa"/>
            <w:vMerge w:val="restart"/>
            <w:tcBorders>
              <w:top w:val="double" w:color="auto" w:sz="2" w:space="0"/>
              <w:left w:val="double" w:color="auto" w:sz="2" w:space="0"/>
              <w:right w:val="single" w:color="auto" w:sz="6" w:space="0"/>
            </w:tcBorders>
            <w:vAlign w:val="center"/>
          </w:tcPr>
          <w:p w14:paraId="0B86438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128" w:type="dxa"/>
            <w:vMerge w:val="restart"/>
            <w:tcBorders>
              <w:top w:val="double" w:color="auto" w:sz="2" w:space="0"/>
              <w:left w:val="single" w:color="auto" w:sz="6" w:space="0"/>
              <w:right w:val="single" w:color="auto" w:sz="6" w:space="0"/>
            </w:tcBorders>
            <w:vAlign w:val="center"/>
          </w:tcPr>
          <w:p w14:paraId="09E183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97" w:type="dxa"/>
            <w:vMerge w:val="restart"/>
            <w:tcBorders>
              <w:top w:val="double" w:color="auto" w:sz="2" w:space="0"/>
              <w:left w:val="single" w:color="auto" w:sz="6" w:space="0"/>
              <w:right w:val="single" w:color="auto" w:sz="6" w:space="0"/>
            </w:tcBorders>
            <w:vAlign w:val="center"/>
          </w:tcPr>
          <w:p w14:paraId="2569E0C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b/>
                <w:bCs/>
                <w:szCs w:val="21"/>
                <w:highlight w:val="none"/>
              </w:rPr>
            </w:pPr>
            <w:r>
              <w:rPr>
                <w:rFonts w:hint="eastAsia" w:ascii="宋体" w:hAnsi="宋体" w:cs="宋体"/>
                <w:b/>
                <w:bCs/>
                <w:szCs w:val="21"/>
                <w:highlight w:val="none"/>
              </w:rPr>
              <w:t>分配</w:t>
            </w:r>
          </w:p>
          <w:p w14:paraId="588C89F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分数</w:t>
            </w:r>
          </w:p>
        </w:tc>
        <w:tc>
          <w:tcPr>
            <w:tcW w:w="7264" w:type="dxa"/>
            <w:vMerge w:val="restart"/>
            <w:tcBorders>
              <w:top w:val="double" w:color="auto" w:sz="2" w:space="0"/>
              <w:left w:val="single" w:color="auto" w:sz="6" w:space="0"/>
              <w:right w:val="single" w:color="auto" w:sz="6" w:space="0"/>
            </w:tcBorders>
            <w:vAlign w:val="center"/>
          </w:tcPr>
          <w:p w14:paraId="49B5237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14:paraId="51D433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14:paraId="7AF279E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718" w:type="dxa"/>
            <w:vMerge w:val="continue"/>
            <w:tcBorders>
              <w:left w:val="double" w:color="auto" w:sz="2" w:space="0"/>
              <w:bottom w:val="single" w:color="auto" w:sz="6" w:space="0"/>
              <w:right w:val="single" w:color="auto" w:sz="6" w:space="0"/>
            </w:tcBorders>
            <w:vAlign w:val="center"/>
          </w:tcPr>
          <w:p w14:paraId="3C647CF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128" w:type="dxa"/>
            <w:vMerge w:val="continue"/>
            <w:tcBorders>
              <w:left w:val="single" w:color="auto" w:sz="6" w:space="0"/>
              <w:bottom w:val="single" w:color="auto" w:sz="6" w:space="0"/>
              <w:right w:val="single" w:color="auto" w:sz="6" w:space="0"/>
            </w:tcBorders>
            <w:vAlign w:val="center"/>
          </w:tcPr>
          <w:p w14:paraId="76EC3B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97" w:type="dxa"/>
            <w:vMerge w:val="continue"/>
            <w:tcBorders>
              <w:left w:val="single" w:color="auto" w:sz="6" w:space="0"/>
              <w:bottom w:val="single" w:color="auto" w:sz="6" w:space="0"/>
              <w:right w:val="single" w:color="auto" w:sz="6" w:space="0"/>
            </w:tcBorders>
            <w:vAlign w:val="center"/>
          </w:tcPr>
          <w:p w14:paraId="3CA6D2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264" w:type="dxa"/>
            <w:vMerge w:val="continue"/>
            <w:tcBorders>
              <w:left w:val="single" w:color="auto" w:sz="6" w:space="0"/>
              <w:bottom w:val="single" w:color="auto" w:sz="6" w:space="0"/>
              <w:right w:val="single" w:color="auto" w:sz="6" w:space="0"/>
            </w:tcBorders>
            <w:vAlign w:val="center"/>
          </w:tcPr>
          <w:p w14:paraId="660F1BB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14:paraId="36E6139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18"/>
                <w:szCs w:val="18"/>
                <w:highlight w:val="none"/>
              </w:rPr>
            </w:pPr>
            <w:r>
              <w:rPr>
                <w:rFonts w:hint="eastAsia" w:ascii="宋体" w:hAnsi="宋体" w:cs="宋体"/>
                <w:b/>
                <w:bCs/>
                <w:sz w:val="18"/>
                <w:szCs w:val="18"/>
                <w:highlight w:val="none"/>
                <w:lang w:val="en-US" w:eastAsia="zh-CN"/>
              </w:rPr>
              <w:t>参评供应商</w:t>
            </w:r>
            <w:r>
              <w:rPr>
                <w:rFonts w:hint="eastAsia" w:ascii="宋体" w:hAnsi="宋体" w:cs="宋体"/>
                <w:b/>
                <w:bCs/>
                <w:sz w:val="18"/>
                <w:szCs w:val="18"/>
                <w:highlight w:val="none"/>
              </w:rPr>
              <w:t>A</w:t>
            </w:r>
          </w:p>
        </w:tc>
        <w:tc>
          <w:tcPr>
            <w:tcW w:w="987" w:type="dxa"/>
            <w:tcBorders>
              <w:top w:val="single" w:color="auto" w:sz="6" w:space="0"/>
              <w:left w:val="single" w:color="auto" w:sz="6" w:space="0"/>
              <w:bottom w:val="single" w:color="auto" w:sz="6" w:space="0"/>
              <w:right w:val="single" w:color="auto" w:sz="6" w:space="0"/>
            </w:tcBorders>
            <w:vAlign w:val="center"/>
          </w:tcPr>
          <w:p w14:paraId="33DBD7A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 w:val="18"/>
                <w:szCs w:val="18"/>
                <w:highlight w:val="none"/>
              </w:rPr>
            </w:pPr>
            <w:r>
              <w:rPr>
                <w:rFonts w:hint="eastAsia" w:ascii="宋体" w:hAnsi="宋体" w:cs="宋体"/>
                <w:b/>
                <w:bCs/>
                <w:sz w:val="18"/>
                <w:szCs w:val="18"/>
                <w:highlight w:val="none"/>
                <w:lang w:val="en-US" w:eastAsia="zh-CN"/>
              </w:rPr>
              <w:t>参评供应商</w:t>
            </w:r>
            <w:r>
              <w:rPr>
                <w:rFonts w:hint="eastAsia" w:ascii="宋体" w:hAnsi="宋体" w:cs="宋体"/>
                <w:b/>
                <w:bCs/>
                <w:sz w:val="18"/>
                <w:szCs w:val="18"/>
                <w:highlight w:val="none"/>
              </w:rPr>
              <w:t>B</w:t>
            </w:r>
          </w:p>
        </w:tc>
        <w:tc>
          <w:tcPr>
            <w:tcW w:w="1075" w:type="dxa"/>
            <w:tcBorders>
              <w:top w:val="single" w:color="auto" w:sz="6" w:space="0"/>
              <w:left w:val="single" w:color="auto" w:sz="6" w:space="0"/>
              <w:bottom w:val="single" w:color="auto" w:sz="6" w:space="0"/>
              <w:right w:val="single" w:color="auto" w:sz="4" w:space="0"/>
            </w:tcBorders>
            <w:vAlign w:val="center"/>
          </w:tcPr>
          <w:p w14:paraId="110466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 w:val="18"/>
                <w:szCs w:val="18"/>
                <w:highlight w:val="none"/>
              </w:rPr>
            </w:pPr>
            <w:r>
              <w:rPr>
                <w:rFonts w:hint="eastAsia" w:ascii="宋体" w:hAnsi="宋体" w:cs="宋体"/>
                <w:b/>
                <w:bCs/>
                <w:sz w:val="18"/>
                <w:szCs w:val="18"/>
                <w:highlight w:val="none"/>
                <w:lang w:val="en-US" w:eastAsia="zh-CN"/>
              </w:rPr>
              <w:t>参评供应商</w:t>
            </w:r>
            <w:r>
              <w:rPr>
                <w:rFonts w:hint="eastAsia" w:ascii="宋体" w:hAnsi="宋体" w:cs="宋体"/>
                <w:b/>
                <w:bCs/>
                <w:sz w:val="18"/>
                <w:szCs w:val="18"/>
                <w:highlight w:val="none"/>
              </w:rPr>
              <w:t>C</w:t>
            </w:r>
          </w:p>
        </w:tc>
        <w:tc>
          <w:tcPr>
            <w:tcW w:w="963" w:type="dxa"/>
            <w:tcBorders>
              <w:top w:val="single" w:color="auto" w:sz="6" w:space="0"/>
              <w:left w:val="nil"/>
              <w:bottom w:val="single" w:color="auto" w:sz="6" w:space="0"/>
              <w:right w:val="double" w:color="auto" w:sz="2" w:space="0"/>
            </w:tcBorders>
            <w:vAlign w:val="center"/>
          </w:tcPr>
          <w:p w14:paraId="1FC6A53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 w:val="18"/>
                <w:szCs w:val="18"/>
                <w:highlight w:val="none"/>
              </w:rPr>
            </w:pPr>
            <w:r>
              <w:rPr>
                <w:rFonts w:hint="eastAsia" w:ascii="宋体" w:hAnsi="宋体" w:cs="宋体"/>
                <w:b/>
                <w:bCs/>
                <w:sz w:val="18"/>
                <w:szCs w:val="18"/>
                <w:highlight w:val="none"/>
              </w:rPr>
              <w:t>......</w:t>
            </w:r>
          </w:p>
        </w:tc>
      </w:tr>
      <w:tr w14:paraId="5DFC619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09"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5D94FE12">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7882A5D6">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人员资质</w:t>
            </w:r>
          </w:p>
        </w:tc>
        <w:tc>
          <w:tcPr>
            <w:tcW w:w="797" w:type="dxa"/>
            <w:tcBorders>
              <w:top w:val="single" w:color="auto" w:sz="6" w:space="0"/>
              <w:left w:val="single" w:color="auto" w:sz="6" w:space="0"/>
              <w:bottom w:val="single" w:color="auto" w:sz="6" w:space="0"/>
              <w:right w:val="single" w:color="auto" w:sz="6" w:space="0"/>
            </w:tcBorders>
            <w:vAlign w:val="center"/>
          </w:tcPr>
          <w:p w14:paraId="68E0888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7264" w:type="dxa"/>
            <w:tcBorders>
              <w:top w:val="single" w:color="auto" w:sz="6" w:space="0"/>
              <w:left w:val="single" w:color="auto" w:sz="6" w:space="0"/>
              <w:bottom w:val="single" w:color="auto" w:sz="6" w:space="0"/>
              <w:right w:val="single" w:color="auto" w:sz="6" w:space="0"/>
            </w:tcBorders>
            <w:vAlign w:val="center"/>
          </w:tcPr>
          <w:p w14:paraId="046B3E86">
            <w:pPr>
              <w:spacing w:line="240" w:lineRule="exact"/>
              <w:jc w:val="left"/>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该项目</w:t>
            </w:r>
            <w:r>
              <w:rPr>
                <w:rFonts w:hint="eastAsia" w:asciiTheme="minorEastAsia" w:hAnsiTheme="minorEastAsia" w:cstheme="minorEastAsia"/>
                <w:sz w:val="21"/>
                <w:szCs w:val="21"/>
                <w:highlight w:val="none"/>
                <w:lang w:val="en-US" w:eastAsia="zh-CN"/>
              </w:rPr>
              <w:t>投入的</w:t>
            </w:r>
            <w:r>
              <w:rPr>
                <w:rFonts w:hint="eastAsia" w:asciiTheme="minorEastAsia" w:hAnsiTheme="minorEastAsia" w:eastAsiaTheme="minorEastAsia" w:cstheme="minorEastAsia"/>
                <w:sz w:val="21"/>
                <w:szCs w:val="21"/>
                <w:highlight w:val="none"/>
                <w:lang w:val="en-US" w:eastAsia="zh-CN"/>
              </w:rPr>
              <w:t>人员具有有效的研究生学历，得2分/人；具有</w:t>
            </w:r>
            <w:r>
              <w:rPr>
                <w:rFonts w:hint="eastAsia" w:asciiTheme="minorEastAsia" w:hAnsiTheme="minorEastAsia" w:eastAsiaTheme="minorEastAsia" w:cstheme="minorEastAsia"/>
                <w:snapToGrid w:val="0"/>
                <w:sz w:val="21"/>
                <w:szCs w:val="21"/>
              </w:rPr>
              <w:t>CMC国际注册管理咨询师</w:t>
            </w:r>
            <w:r>
              <w:rPr>
                <w:rFonts w:hint="eastAsia" w:asciiTheme="minorEastAsia" w:hAnsiTheme="minorEastAsia" w:eastAsiaTheme="minorEastAsia" w:cstheme="minorEastAsia"/>
                <w:snapToGrid w:val="0"/>
                <w:sz w:val="21"/>
                <w:szCs w:val="21"/>
                <w:lang w:val="en-US" w:eastAsia="zh-CN"/>
              </w:rPr>
              <w:t>证书</w:t>
            </w:r>
            <w:r>
              <w:rPr>
                <w:rFonts w:hint="eastAsia" w:asciiTheme="minorEastAsia" w:hAnsiTheme="minorEastAsia" w:eastAsiaTheme="minorEastAsia" w:cstheme="minorEastAsia"/>
                <w:sz w:val="21"/>
                <w:szCs w:val="21"/>
                <w:highlight w:val="none"/>
                <w:lang w:val="en-US" w:eastAsia="zh-CN"/>
              </w:rPr>
              <w:t>得2分/人；具有</w:t>
            </w:r>
            <w:r>
              <w:rPr>
                <w:rFonts w:hint="eastAsia" w:asciiTheme="minorEastAsia" w:hAnsiTheme="minorEastAsia" w:eastAsiaTheme="minorEastAsia" w:cstheme="minorEastAsia"/>
                <w:snapToGrid w:val="0"/>
                <w:sz w:val="21"/>
                <w:szCs w:val="21"/>
              </w:rPr>
              <w:t>国家一级人力资源管理师</w:t>
            </w:r>
            <w:r>
              <w:rPr>
                <w:rFonts w:hint="eastAsia" w:asciiTheme="minorEastAsia" w:hAnsiTheme="minorEastAsia" w:eastAsiaTheme="minorEastAsia" w:cstheme="minorEastAsia"/>
                <w:sz w:val="21"/>
                <w:szCs w:val="21"/>
                <w:highlight w:val="none"/>
                <w:lang w:val="en-US" w:eastAsia="zh-CN"/>
              </w:rPr>
              <w:t>证书得2分/人</w:t>
            </w:r>
            <w:r>
              <w:rPr>
                <w:rFonts w:hint="eastAsia" w:asciiTheme="minorEastAsia" w:hAnsiTheme="minorEastAsia" w:cstheme="minorEastAsia"/>
                <w:sz w:val="21"/>
                <w:szCs w:val="21"/>
                <w:highlight w:val="none"/>
                <w:lang w:val="en-US" w:eastAsia="zh-CN"/>
              </w:rPr>
              <w:t>，</w:t>
            </w:r>
            <w:r>
              <w:rPr>
                <w:rFonts w:hint="eastAsia" w:asciiTheme="minorEastAsia" w:hAnsiTheme="minorEastAsia" w:cstheme="minorEastAsia"/>
                <w:b w:val="0"/>
                <w:bCs w:val="0"/>
                <w:sz w:val="21"/>
                <w:szCs w:val="21"/>
                <w:highlight w:val="none"/>
                <w:lang w:val="en-US" w:eastAsia="zh-CN"/>
              </w:rPr>
              <w:t>本项最高得10分。</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bCs/>
                <w:sz w:val="21"/>
                <w:szCs w:val="21"/>
                <w:highlight w:val="none"/>
                <w:lang w:val="en-US" w:eastAsia="zh-CN"/>
              </w:rPr>
              <w:t>需提供相关人员相关资质证书复印件加盖参评人公章和参评人为其缴纳的近3个月社保记录</w:t>
            </w:r>
            <w:r>
              <w:rPr>
                <w:rFonts w:hint="eastAsia" w:asciiTheme="minorEastAsia" w:hAnsiTheme="minorEastAsia" w:cstheme="minorEastAsia"/>
                <w:b/>
                <w:bCs/>
                <w:sz w:val="21"/>
                <w:szCs w:val="21"/>
                <w:highlight w:val="none"/>
                <w:lang w:val="en-US" w:eastAsia="zh-CN"/>
              </w:rPr>
              <w:t>作为证明材料，否则不得分</w:t>
            </w:r>
            <w:r>
              <w:rPr>
                <w:rFonts w:hint="eastAsia" w:asciiTheme="minorEastAsia" w:hAnsiTheme="minorEastAsia" w:eastAsiaTheme="minorEastAsia" w:cstheme="minorEastAsia"/>
                <w:b/>
                <w:bCs/>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w:t>
            </w:r>
          </w:p>
        </w:tc>
        <w:tc>
          <w:tcPr>
            <w:tcW w:w="983" w:type="dxa"/>
            <w:tcBorders>
              <w:top w:val="single" w:color="auto" w:sz="6" w:space="0"/>
              <w:left w:val="single" w:color="auto" w:sz="6" w:space="0"/>
              <w:bottom w:val="single" w:color="auto" w:sz="6" w:space="0"/>
              <w:right w:val="single" w:color="auto" w:sz="6" w:space="0"/>
            </w:tcBorders>
            <w:vAlign w:val="center"/>
          </w:tcPr>
          <w:p w14:paraId="3E33FA5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1E7E1DC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0E790EC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31893A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15B03A7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3FA61F04">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130D1D23">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服务方案</w:t>
            </w:r>
          </w:p>
        </w:tc>
        <w:tc>
          <w:tcPr>
            <w:tcW w:w="797" w:type="dxa"/>
            <w:tcBorders>
              <w:top w:val="single" w:color="auto" w:sz="6" w:space="0"/>
              <w:left w:val="single" w:color="auto" w:sz="6" w:space="0"/>
              <w:bottom w:val="single" w:color="auto" w:sz="6" w:space="0"/>
              <w:right w:val="single" w:color="auto" w:sz="6" w:space="0"/>
            </w:tcBorders>
            <w:vAlign w:val="center"/>
          </w:tcPr>
          <w:p w14:paraId="5D1F3E9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5</w:t>
            </w:r>
          </w:p>
        </w:tc>
        <w:tc>
          <w:tcPr>
            <w:tcW w:w="7264" w:type="dxa"/>
            <w:tcBorders>
              <w:top w:val="single" w:color="auto" w:sz="6" w:space="0"/>
              <w:left w:val="single" w:color="auto" w:sz="6" w:space="0"/>
              <w:bottom w:val="single" w:color="auto" w:sz="6" w:space="0"/>
              <w:right w:val="single" w:color="auto" w:sz="6" w:space="0"/>
            </w:tcBorders>
            <w:vAlign w:val="center"/>
          </w:tcPr>
          <w:p w14:paraId="0D7BE996">
            <w:pPr>
              <w:jc w:val="left"/>
              <w:rPr>
                <w:rFonts w:hint="default"/>
                <w:lang w:val="en-US" w:eastAsia="zh-CN"/>
              </w:rPr>
            </w:pPr>
            <w:r>
              <w:rPr>
                <w:rFonts w:hint="eastAsia" w:asciiTheme="minorEastAsia" w:hAnsiTheme="minorEastAsia" w:eastAsiaTheme="minorEastAsia" w:cstheme="minorEastAsia"/>
                <w:snapToGrid w:val="0"/>
                <w:sz w:val="21"/>
                <w:szCs w:val="21"/>
              </w:rPr>
              <w:t>根据</w:t>
            </w:r>
            <w:r>
              <w:rPr>
                <w:rFonts w:hint="eastAsia" w:asciiTheme="minorEastAsia" w:hAnsiTheme="minorEastAsia" w:cstheme="minorEastAsia"/>
                <w:snapToGrid w:val="0"/>
                <w:sz w:val="21"/>
                <w:szCs w:val="21"/>
                <w:lang w:val="en-US" w:eastAsia="zh-CN"/>
              </w:rPr>
              <w:t>参评人</w:t>
            </w:r>
            <w:r>
              <w:rPr>
                <w:rFonts w:hint="eastAsia" w:asciiTheme="minorEastAsia" w:hAnsiTheme="minorEastAsia" w:eastAsiaTheme="minorEastAsia" w:cstheme="minorEastAsia"/>
                <w:snapToGrid w:val="0"/>
                <w:sz w:val="21"/>
                <w:szCs w:val="21"/>
              </w:rPr>
              <w:t>提供的项目服务方案进行评审，从</w:t>
            </w:r>
            <w:r>
              <w:rPr>
                <w:rFonts w:hint="eastAsia" w:asciiTheme="minorEastAsia" w:hAnsiTheme="minorEastAsia" w:eastAsiaTheme="minorEastAsia" w:cstheme="minorEastAsia"/>
                <w:snapToGrid w:val="0"/>
                <w:sz w:val="21"/>
                <w:szCs w:val="21"/>
                <w:lang w:val="en-US" w:eastAsia="zh-CN"/>
              </w:rPr>
              <w:t>项目需求</w:t>
            </w:r>
            <w:r>
              <w:rPr>
                <w:rFonts w:hint="eastAsia" w:asciiTheme="minorEastAsia" w:hAnsiTheme="minorEastAsia" w:eastAsiaTheme="minorEastAsia" w:cstheme="minorEastAsia"/>
                <w:snapToGrid w:val="0"/>
                <w:sz w:val="21"/>
                <w:szCs w:val="21"/>
              </w:rPr>
              <w:t>、</w:t>
            </w:r>
            <w:r>
              <w:rPr>
                <w:rFonts w:hint="eastAsia" w:asciiTheme="minorEastAsia" w:hAnsiTheme="minorEastAsia" w:eastAsiaTheme="minorEastAsia" w:cstheme="minorEastAsia"/>
                <w:snapToGrid w:val="0"/>
                <w:sz w:val="21"/>
                <w:szCs w:val="21"/>
                <w:lang w:val="en-US" w:eastAsia="zh-CN"/>
              </w:rPr>
              <w:t>主要服务内容和见证成果</w:t>
            </w:r>
            <w:r>
              <w:rPr>
                <w:rFonts w:hint="eastAsia" w:asciiTheme="minorEastAsia" w:hAnsiTheme="minorEastAsia" w:eastAsiaTheme="minorEastAsia" w:cstheme="minorEastAsia"/>
                <w:snapToGrid w:val="0"/>
                <w:sz w:val="21"/>
                <w:szCs w:val="21"/>
              </w:rPr>
              <w:t>、</w:t>
            </w:r>
            <w:r>
              <w:rPr>
                <w:rFonts w:hint="eastAsia" w:asciiTheme="minorEastAsia" w:hAnsiTheme="minorEastAsia" w:eastAsiaTheme="minorEastAsia" w:cstheme="minorEastAsia"/>
                <w:snapToGrid w:val="0"/>
                <w:sz w:val="21"/>
                <w:szCs w:val="21"/>
                <w:lang w:val="en-US" w:eastAsia="zh-CN"/>
              </w:rPr>
              <w:t>项目实施计划</w:t>
            </w:r>
            <w:r>
              <w:rPr>
                <w:rFonts w:hint="eastAsia" w:asciiTheme="minorEastAsia" w:hAnsiTheme="minorEastAsia" w:eastAsiaTheme="minorEastAsia" w:cstheme="minorEastAsia"/>
                <w:snapToGrid w:val="0"/>
                <w:sz w:val="21"/>
                <w:szCs w:val="21"/>
              </w:rPr>
              <w:t>等综合评比</w:t>
            </w:r>
            <w:r>
              <w:rPr>
                <w:rFonts w:hint="eastAsia" w:asciiTheme="minorEastAsia" w:hAnsiTheme="minorEastAsia" w:eastAsiaTheme="minorEastAsia" w:cstheme="minorEastAsia"/>
                <w:snapToGrid w:val="0"/>
                <w:sz w:val="21"/>
                <w:szCs w:val="21"/>
                <w:lang w:eastAsia="zh-CN"/>
              </w:rPr>
              <w:t>。</w:t>
            </w:r>
            <w:r>
              <w:rPr>
                <w:rFonts w:hint="eastAsia" w:asciiTheme="minorEastAsia" w:hAnsiTheme="minorEastAsia" w:eastAsiaTheme="minorEastAsia" w:cstheme="minorEastAsia"/>
                <w:snapToGrid w:val="0"/>
                <w:sz w:val="21"/>
                <w:szCs w:val="21"/>
                <w:lang w:val="en-US" w:eastAsia="zh-CN"/>
              </w:rPr>
              <w:t>本项最高分得</w:t>
            </w:r>
            <w:r>
              <w:rPr>
                <w:rFonts w:hint="eastAsia" w:asciiTheme="minorEastAsia" w:hAnsiTheme="minorEastAsia" w:cstheme="minorEastAsia"/>
                <w:snapToGrid w:val="0"/>
                <w:sz w:val="21"/>
                <w:szCs w:val="21"/>
                <w:lang w:val="en-US" w:eastAsia="zh-CN"/>
              </w:rPr>
              <w:t>15</w:t>
            </w:r>
            <w:r>
              <w:rPr>
                <w:rFonts w:hint="eastAsia" w:asciiTheme="minorEastAsia" w:hAnsiTheme="minorEastAsia" w:eastAsiaTheme="minorEastAsia" w:cstheme="minorEastAsia"/>
                <w:snapToGrid w:val="0"/>
                <w:sz w:val="21"/>
                <w:szCs w:val="21"/>
              </w:rPr>
              <w:t>分，</w:t>
            </w:r>
            <w:r>
              <w:rPr>
                <w:rFonts w:hint="eastAsia" w:asciiTheme="minorEastAsia" w:hAnsiTheme="minorEastAsia" w:cstheme="minorEastAsia"/>
                <w:snapToGrid w:val="0"/>
                <w:sz w:val="21"/>
                <w:szCs w:val="21"/>
                <w:lang w:val="en-US" w:eastAsia="zh-CN"/>
              </w:rPr>
              <w:t>等级及分值区间设置为：优秀（13-15分）、良好（10-12分）、一般（7-9分）、差（0-6分）</w:t>
            </w:r>
          </w:p>
        </w:tc>
        <w:tc>
          <w:tcPr>
            <w:tcW w:w="983" w:type="dxa"/>
            <w:tcBorders>
              <w:top w:val="single" w:color="auto" w:sz="6" w:space="0"/>
              <w:left w:val="single" w:color="auto" w:sz="6" w:space="0"/>
              <w:bottom w:val="single" w:color="auto" w:sz="6" w:space="0"/>
              <w:right w:val="single" w:color="auto" w:sz="6" w:space="0"/>
            </w:tcBorders>
            <w:vAlign w:val="center"/>
          </w:tcPr>
          <w:p w14:paraId="45EC0F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0806C46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30BA60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4D1F1C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7DF4B4D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5D797E67">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6198822C">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eastAsia="zh-CN"/>
              </w:rPr>
              <w:t>服务商</w:t>
            </w:r>
            <w:r>
              <w:rPr>
                <w:rFonts w:hint="eastAsia" w:asciiTheme="minorEastAsia" w:hAnsiTheme="minorEastAsia" w:eastAsiaTheme="minorEastAsia" w:cstheme="minorEastAsia"/>
                <w:sz w:val="21"/>
                <w:szCs w:val="21"/>
                <w:highlight w:val="none"/>
              </w:rPr>
              <w:t>同类项目业绩</w:t>
            </w:r>
          </w:p>
        </w:tc>
        <w:tc>
          <w:tcPr>
            <w:tcW w:w="797" w:type="dxa"/>
            <w:tcBorders>
              <w:top w:val="single" w:color="auto" w:sz="6" w:space="0"/>
              <w:left w:val="single" w:color="auto" w:sz="6" w:space="0"/>
              <w:bottom w:val="single" w:color="auto" w:sz="6" w:space="0"/>
              <w:right w:val="single" w:color="auto" w:sz="6" w:space="0"/>
            </w:tcBorders>
            <w:vAlign w:val="center"/>
          </w:tcPr>
          <w:p w14:paraId="18A81B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7264" w:type="dxa"/>
            <w:tcBorders>
              <w:top w:val="single" w:color="auto" w:sz="6" w:space="0"/>
              <w:left w:val="single" w:color="auto" w:sz="6" w:space="0"/>
              <w:bottom w:val="single" w:color="auto" w:sz="6" w:space="0"/>
              <w:right w:val="single" w:color="auto" w:sz="6" w:space="0"/>
            </w:tcBorders>
            <w:vAlign w:val="center"/>
          </w:tcPr>
          <w:p w14:paraId="5B8CDD0F">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参评人</w:t>
            </w:r>
            <w:r>
              <w:rPr>
                <w:rFonts w:hint="eastAsia" w:asciiTheme="minorEastAsia" w:hAnsiTheme="minorEastAsia" w:eastAsiaTheme="minorEastAsia" w:cstheme="minorEastAsia"/>
                <w:sz w:val="21"/>
                <w:szCs w:val="21"/>
                <w:highlight w:val="none"/>
              </w:rPr>
              <w:t>自</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年以来</w:t>
            </w:r>
            <w:r>
              <w:rPr>
                <w:rFonts w:hint="eastAsia" w:asciiTheme="minorEastAsia" w:hAnsiTheme="minorEastAsia" w:eastAsiaTheme="minorEastAsia" w:cstheme="minorEastAsia"/>
                <w:sz w:val="21"/>
                <w:szCs w:val="21"/>
                <w:highlight w:val="none"/>
              </w:rPr>
              <w:t>（以合同签订时间为准）承接或完成的同类项目业绩，</w:t>
            </w:r>
            <w:r>
              <w:rPr>
                <w:rFonts w:hint="eastAsia" w:asciiTheme="minorEastAsia" w:hAnsiTheme="minorEastAsia" w:eastAsiaTheme="minorEastAsia" w:cstheme="minorEastAsia"/>
                <w:sz w:val="21"/>
                <w:szCs w:val="21"/>
                <w:highlight w:val="none"/>
                <w:lang w:val="en-US" w:eastAsia="zh-CN"/>
              </w:rPr>
              <w:t>每提供一份合同得3分；如未提供任何同类项目业绩的，不得分</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b w:val="0"/>
                <w:bCs w:val="0"/>
                <w:sz w:val="21"/>
                <w:szCs w:val="21"/>
                <w:highlight w:val="none"/>
                <w:lang w:val="en-US" w:eastAsia="zh-CN"/>
              </w:rPr>
              <w:t>本项最高得15分。</w:t>
            </w:r>
          </w:p>
          <w:p w14:paraId="23AB0060">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注：需提供盖公章的合同复印件</w:t>
            </w:r>
            <w:r>
              <w:rPr>
                <w:rFonts w:hint="eastAsia" w:asciiTheme="minorEastAsia" w:hAnsiTheme="minorEastAsia" w:cstheme="minorEastAsia"/>
                <w:b/>
                <w:bCs/>
                <w:sz w:val="21"/>
                <w:szCs w:val="21"/>
                <w:highlight w:val="none"/>
                <w:lang w:val="en-US" w:eastAsia="zh-CN"/>
              </w:rPr>
              <w:t>作为证明材料，否则不得分</w:t>
            </w:r>
            <w:r>
              <w:rPr>
                <w:rFonts w:hint="eastAsia" w:asciiTheme="minorEastAsia" w:hAnsiTheme="minorEastAsia" w:eastAsiaTheme="minorEastAsia" w:cstheme="minorEastAsia"/>
                <w:sz w:val="21"/>
                <w:szCs w:val="21"/>
                <w:highlight w:val="none"/>
                <w:lang w:val="en-US" w:eastAsia="zh-CN"/>
              </w:rPr>
              <w:t>。</w:t>
            </w:r>
          </w:p>
        </w:tc>
        <w:tc>
          <w:tcPr>
            <w:tcW w:w="983" w:type="dxa"/>
            <w:tcBorders>
              <w:top w:val="single" w:color="auto" w:sz="6" w:space="0"/>
              <w:left w:val="single" w:color="auto" w:sz="6" w:space="0"/>
              <w:bottom w:val="single" w:color="auto" w:sz="6" w:space="0"/>
              <w:right w:val="single" w:color="auto" w:sz="6" w:space="0"/>
            </w:tcBorders>
            <w:vAlign w:val="center"/>
          </w:tcPr>
          <w:p w14:paraId="4F9462C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4FE716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70281E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0C6314D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22EAF51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1BD4372C">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14:paraId="2E0C0B54">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cstheme="minorEastAsia"/>
                <w:color w:val="000000"/>
                <w:kern w:val="0"/>
                <w:sz w:val="21"/>
                <w:szCs w:val="21"/>
                <w:highlight w:val="none"/>
                <w:lang w:val="en-US" w:eastAsia="zh-CN"/>
              </w:rPr>
              <w:t>服务跟踪</w:t>
            </w:r>
            <w:r>
              <w:rPr>
                <w:rFonts w:hint="eastAsia" w:asciiTheme="minorEastAsia" w:hAnsiTheme="minorEastAsia" w:eastAsiaTheme="minorEastAsia" w:cstheme="minorEastAsia"/>
                <w:color w:val="000000"/>
                <w:kern w:val="0"/>
                <w:sz w:val="21"/>
                <w:szCs w:val="21"/>
                <w:highlight w:val="none"/>
                <w:lang w:val="en-US" w:eastAsia="zh-CN"/>
              </w:rPr>
              <w:t>与支持</w:t>
            </w:r>
          </w:p>
        </w:tc>
        <w:tc>
          <w:tcPr>
            <w:tcW w:w="797" w:type="dxa"/>
            <w:tcBorders>
              <w:top w:val="single" w:color="auto" w:sz="6" w:space="0"/>
              <w:left w:val="single" w:color="auto" w:sz="6" w:space="0"/>
              <w:bottom w:val="single" w:color="auto" w:sz="6" w:space="0"/>
              <w:right w:val="single" w:color="auto" w:sz="6" w:space="0"/>
            </w:tcBorders>
            <w:shd w:val="clear" w:color="auto" w:fill="auto"/>
            <w:vAlign w:val="center"/>
          </w:tcPr>
          <w:p w14:paraId="6F06581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sz w:val="21"/>
                <w:szCs w:val="21"/>
                <w:highlight w:val="none"/>
                <w:lang w:val="en-US" w:eastAsia="zh-CN"/>
              </w:rPr>
              <w:t>10</w:t>
            </w:r>
          </w:p>
        </w:tc>
        <w:tc>
          <w:tcPr>
            <w:tcW w:w="7264" w:type="dxa"/>
            <w:tcBorders>
              <w:top w:val="single" w:color="auto" w:sz="6" w:space="0"/>
              <w:left w:val="single" w:color="auto" w:sz="6" w:space="0"/>
              <w:bottom w:val="single" w:color="auto" w:sz="6" w:space="0"/>
              <w:right w:val="single" w:color="auto" w:sz="6" w:space="0"/>
            </w:tcBorders>
            <w:shd w:val="clear" w:color="auto" w:fill="auto"/>
            <w:vAlign w:val="center"/>
          </w:tcPr>
          <w:p w14:paraId="587CEA8F">
            <w:pPr>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napToGrid w:val="0"/>
                <w:sz w:val="21"/>
                <w:szCs w:val="21"/>
              </w:rPr>
              <w:t>根据</w:t>
            </w:r>
            <w:r>
              <w:rPr>
                <w:rFonts w:hint="eastAsia" w:asciiTheme="minorEastAsia" w:hAnsiTheme="minorEastAsia" w:cstheme="minorEastAsia"/>
                <w:snapToGrid w:val="0"/>
                <w:sz w:val="21"/>
                <w:szCs w:val="21"/>
                <w:lang w:val="en-US" w:eastAsia="zh-CN"/>
              </w:rPr>
              <w:t>参评人</w:t>
            </w:r>
            <w:r>
              <w:rPr>
                <w:rFonts w:hint="eastAsia" w:asciiTheme="minorEastAsia" w:hAnsiTheme="minorEastAsia" w:eastAsiaTheme="minorEastAsia" w:cstheme="minorEastAsia"/>
                <w:snapToGrid w:val="0"/>
                <w:sz w:val="21"/>
                <w:szCs w:val="21"/>
              </w:rPr>
              <w:t>提供的</w:t>
            </w:r>
            <w:r>
              <w:rPr>
                <w:rFonts w:hint="eastAsia" w:asciiTheme="minorEastAsia" w:hAnsiTheme="minorEastAsia" w:cstheme="minorEastAsia"/>
                <w:color w:val="000000"/>
                <w:kern w:val="0"/>
                <w:sz w:val="21"/>
                <w:szCs w:val="21"/>
                <w:highlight w:val="none"/>
                <w:lang w:val="en-US" w:eastAsia="zh-CN"/>
              </w:rPr>
              <w:t>服务跟踪</w:t>
            </w:r>
            <w:r>
              <w:rPr>
                <w:rFonts w:hint="eastAsia" w:asciiTheme="minorEastAsia" w:hAnsiTheme="minorEastAsia" w:eastAsiaTheme="minorEastAsia" w:cstheme="minorEastAsia"/>
                <w:color w:val="000000"/>
                <w:kern w:val="0"/>
                <w:sz w:val="21"/>
                <w:szCs w:val="21"/>
                <w:highlight w:val="none"/>
                <w:lang w:val="en-US" w:eastAsia="zh-CN"/>
              </w:rPr>
              <w:t>与支持</w:t>
            </w:r>
            <w:r>
              <w:rPr>
                <w:rFonts w:hint="eastAsia" w:asciiTheme="minorEastAsia" w:hAnsiTheme="minorEastAsia" w:cstheme="minorEastAsia"/>
                <w:snapToGrid w:val="0"/>
                <w:sz w:val="21"/>
                <w:szCs w:val="21"/>
                <w:lang w:val="en-US" w:eastAsia="zh-CN"/>
              </w:rPr>
              <w:t>书面承诺</w:t>
            </w:r>
            <w:r>
              <w:rPr>
                <w:rFonts w:hint="eastAsia" w:asciiTheme="minorEastAsia" w:hAnsiTheme="minorEastAsia" w:eastAsiaTheme="minorEastAsia" w:cstheme="minorEastAsia"/>
                <w:snapToGrid w:val="0"/>
                <w:sz w:val="21"/>
                <w:szCs w:val="21"/>
              </w:rPr>
              <w:t>进行评审，</w:t>
            </w:r>
            <w:r>
              <w:rPr>
                <w:rFonts w:hint="eastAsia" w:asciiTheme="minorEastAsia" w:hAnsiTheme="minorEastAsia" w:cstheme="minorEastAsia"/>
                <w:snapToGrid w:val="0"/>
                <w:sz w:val="21"/>
                <w:szCs w:val="21"/>
                <w:lang w:val="en-US" w:eastAsia="zh-CN"/>
              </w:rPr>
              <w:t>包括但不限于落地辅导、方案修订、答疑</w:t>
            </w:r>
            <w:r>
              <w:rPr>
                <w:rFonts w:hint="eastAsia" w:asciiTheme="minorEastAsia" w:hAnsiTheme="minorEastAsia" w:eastAsiaTheme="minorEastAsia" w:cstheme="minorEastAsia"/>
                <w:snapToGrid w:val="0"/>
                <w:sz w:val="21"/>
                <w:szCs w:val="21"/>
              </w:rPr>
              <w:t>等</w:t>
            </w:r>
            <w:r>
              <w:rPr>
                <w:rFonts w:hint="eastAsia" w:asciiTheme="minorEastAsia" w:hAnsiTheme="minorEastAsia" w:cstheme="minorEastAsia"/>
                <w:snapToGrid w:val="0"/>
                <w:sz w:val="21"/>
                <w:szCs w:val="21"/>
                <w:lang w:val="en-US" w:eastAsia="zh-CN"/>
              </w:rPr>
              <w:t>内容的</w:t>
            </w:r>
            <w:r>
              <w:rPr>
                <w:rFonts w:hint="eastAsia" w:asciiTheme="minorEastAsia" w:hAnsiTheme="minorEastAsia" w:eastAsiaTheme="minorEastAsia" w:cstheme="minorEastAsia"/>
                <w:snapToGrid w:val="0"/>
                <w:sz w:val="21"/>
                <w:szCs w:val="21"/>
              </w:rPr>
              <w:t>综合评比</w:t>
            </w:r>
            <w:r>
              <w:rPr>
                <w:rFonts w:hint="eastAsia" w:asciiTheme="minorEastAsia" w:hAnsiTheme="minorEastAsia" w:eastAsiaTheme="minorEastAsia" w:cstheme="minorEastAsia"/>
                <w:snapToGrid w:val="0"/>
                <w:sz w:val="21"/>
                <w:szCs w:val="21"/>
                <w:lang w:eastAsia="zh-CN"/>
              </w:rPr>
              <w:t>。</w:t>
            </w:r>
            <w:r>
              <w:rPr>
                <w:rFonts w:hint="eastAsia" w:asciiTheme="minorEastAsia" w:hAnsiTheme="minorEastAsia" w:eastAsiaTheme="minorEastAsia" w:cstheme="minorEastAsia"/>
                <w:snapToGrid w:val="0"/>
                <w:sz w:val="21"/>
                <w:szCs w:val="21"/>
                <w:lang w:val="en-US" w:eastAsia="zh-CN"/>
              </w:rPr>
              <w:t>本项最高分得</w:t>
            </w:r>
            <w:r>
              <w:rPr>
                <w:rFonts w:hint="eastAsia" w:asciiTheme="minorEastAsia" w:hAnsiTheme="minorEastAsia" w:cstheme="minorEastAsia"/>
                <w:snapToGrid w:val="0"/>
                <w:sz w:val="21"/>
                <w:szCs w:val="21"/>
                <w:lang w:val="en-US" w:eastAsia="zh-CN"/>
              </w:rPr>
              <w:t>10</w:t>
            </w:r>
            <w:r>
              <w:rPr>
                <w:rFonts w:hint="eastAsia" w:asciiTheme="minorEastAsia" w:hAnsiTheme="minorEastAsia" w:eastAsiaTheme="minorEastAsia" w:cstheme="minorEastAsia"/>
                <w:snapToGrid w:val="0"/>
                <w:sz w:val="21"/>
                <w:szCs w:val="21"/>
              </w:rPr>
              <w:t>分，</w:t>
            </w:r>
            <w:r>
              <w:rPr>
                <w:rFonts w:hint="eastAsia" w:asciiTheme="minorEastAsia" w:hAnsiTheme="minorEastAsia" w:cstheme="minorEastAsia"/>
                <w:snapToGrid w:val="0"/>
                <w:sz w:val="21"/>
                <w:szCs w:val="21"/>
                <w:lang w:val="en-US" w:eastAsia="zh-CN"/>
              </w:rPr>
              <w:t>等级及分值区间设置为：优秀（8-10分）、良好（6-7分）、一般（4-5分）、差（0-3分），无相关承诺的不得分。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738C682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654625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54F7EDC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50540AA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6395EE1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5109EF70">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24E2D54A">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default"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cstheme="minorEastAsia"/>
                <w:color w:val="000000"/>
                <w:kern w:val="0"/>
                <w:sz w:val="21"/>
                <w:szCs w:val="21"/>
                <w:highlight w:val="none"/>
                <w:lang w:val="en-US" w:eastAsia="zh-CN"/>
              </w:rPr>
              <w:t>服务跟踪期延长</w:t>
            </w:r>
          </w:p>
        </w:tc>
        <w:tc>
          <w:tcPr>
            <w:tcW w:w="797" w:type="dxa"/>
            <w:tcBorders>
              <w:top w:val="single" w:color="auto" w:sz="6" w:space="0"/>
              <w:left w:val="single" w:color="auto" w:sz="6" w:space="0"/>
              <w:bottom w:val="single" w:color="auto" w:sz="6" w:space="0"/>
              <w:right w:val="single" w:color="auto" w:sz="6" w:space="0"/>
            </w:tcBorders>
            <w:vAlign w:val="center"/>
          </w:tcPr>
          <w:p w14:paraId="2C55289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10</w:t>
            </w:r>
          </w:p>
        </w:tc>
        <w:tc>
          <w:tcPr>
            <w:tcW w:w="7264" w:type="dxa"/>
            <w:tcBorders>
              <w:top w:val="single" w:color="auto" w:sz="6" w:space="0"/>
              <w:left w:val="single" w:color="auto" w:sz="6" w:space="0"/>
              <w:bottom w:val="single" w:color="auto" w:sz="6" w:space="0"/>
              <w:right w:val="single" w:color="auto" w:sz="6" w:space="0"/>
            </w:tcBorders>
            <w:vAlign w:val="center"/>
          </w:tcPr>
          <w:p w14:paraId="2C5F5E49">
            <w:pPr>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napToGrid w:val="0"/>
                <w:sz w:val="21"/>
                <w:szCs w:val="21"/>
                <w:lang w:val="en-US" w:eastAsia="zh-CN"/>
              </w:rPr>
              <w:t>项目服务跟踪期（</w:t>
            </w:r>
            <w:r>
              <w:rPr>
                <w:rFonts w:hint="default" w:asciiTheme="minorEastAsia" w:hAnsiTheme="minorEastAsia" w:eastAsiaTheme="minorEastAsia" w:cstheme="minorEastAsia"/>
                <w:snapToGrid w:val="0"/>
                <w:sz w:val="21"/>
                <w:szCs w:val="21"/>
                <w:lang w:val="en-US" w:eastAsia="zh-CN"/>
              </w:rPr>
              <w:t>自服务项目内容完成之日起开始计算一年的服务跟踪期</w:t>
            </w:r>
            <w:r>
              <w:rPr>
                <w:rFonts w:hint="eastAsia" w:asciiTheme="minorEastAsia" w:hAnsiTheme="minorEastAsia" w:eastAsiaTheme="minorEastAsia" w:cstheme="minorEastAsia"/>
                <w:snapToGrid w:val="0"/>
                <w:sz w:val="21"/>
                <w:szCs w:val="21"/>
                <w:lang w:val="en-US" w:eastAsia="zh-CN"/>
              </w:rPr>
              <w:t>）</w:t>
            </w:r>
            <w:r>
              <w:rPr>
                <w:rFonts w:hint="eastAsia" w:asciiTheme="minorEastAsia" w:hAnsiTheme="minorEastAsia" w:cstheme="minorEastAsia"/>
                <w:snapToGrid w:val="0"/>
                <w:sz w:val="21"/>
                <w:szCs w:val="21"/>
                <w:lang w:val="en-US" w:eastAsia="zh-CN"/>
              </w:rPr>
              <w:t>为一年，</w:t>
            </w:r>
            <w:r>
              <w:rPr>
                <w:rFonts w:hint="eastAsia" w:ascii="宋体" w:hAnsi="宋体" w:cs="宋体"/>
                <w:i w:val="0"/>
                <w:iCs w:val="0"/>
                <w:color w:val="000000"/>
                <w:kern w:val="0"/>
                <w:sz w:val="21"/>
                <w:szCs w:val="21"/>
                <w:highlight w:val="none"/>
                <w:u w:val="none"/>
                <w:lang w:val="en-US" w:eastAsia="zh-CN" w:bidi="ar"/>
              </w:rPr>
              <w:t>书面承诺每延长1年，加5分，</w:t>
            </w:r>
            <w:r>
              <w:rPr>
                <w:rFonts w:hint="eastAsia" w:ascii="宋体" w:hAnsi="宋体" w:cs="宋体"/>
                <w:szCs w:val="21"/>
                <w:highlight w:val="none"/>
                <w:lang w:val="en-US" w:eastAsia="zh-CN"/>
              </w:rPr>
              <w:t>本项最高得10分。</w:t>
            </w:r>
          </w:p>
        </w:tc>
        <w:tc>
          <w:tcPr>
            <w:tcW w:w="983" w:type="dxa"/>
            <w:tcBorders>
              <w:top w:val="single" w:color="auto" w:sz="6" w:space="0"/>
              <w:left w:val="single" w:color="auto" w:sz="6" w:space="0"/>
              <w:bottom w:val="single" w:color="auto" w:sz="6" w:space="0"/>
              <w:right w:val="single" w:color="auto" w:sz="6" w:space="0"/>
            </w:tcBorders>
            <w:vAlign w:val="center"/>
          </w:tcPr>
          <w:p w14:paraId="2F6F6AA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34A140B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14A4E9C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128E304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7298195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1846" w:type="dxa"/>
            <w:gridSpan w:val="2"/>
            <w:tcBorders>
              <w:top w:val="single" w:color="auto" w:sz="6" w:space="0"/>
              <w:left w:val="double" w:color="auto" w:sz="2" w:space="0"/>
              <w:bottom w:val="single" w:color="auto" w:sz="6" w:space="0"/>
              <w:right w:val="single" w:color="auto" w:sz="6" w:space="0"/>
            </w:tcBorders>
            <w:vAlign w:val="center"/>
          </w:tcPr>
          <w:p w14:paraId="45225A3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97" w:type="dxa"/>
            <w:tcBorders>
              <w:top w:val="single" w:color="auto" w:sz="6" w:space="0"/>
              <w:left w:val="single" w:color="auto" w:sz="6" w:space="0"/>
              <w:bottom w:val="single" w:color="auto" w:sz="6" w:space="0"/>
              <w:right w:val="single" w:color="auto" w:sz="6" w:space="0"/>
            </w:tcBorders>
            <w:vAlign w:val="center"/>
          </w:tcPr>
          <w:p w14:paraId="00264C8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60</w:t>
            </w:r>
          </w:p>
        </w:tc>
        <w:tc>
          <w:tcPr>
            <w:tcW w:w="7264" w:type="dxa"/>
            <w:tcBorders>
              <w:top w:val="single" w:color="auto" w:sz="6" w:space="0"/>
              <w:left w:val="single" w:color="auto" w:sz="6" w:space="0"/>
              <w:bottom w:val="single" w:color="auto" w:sz="6" w:space="0"/>
              <w:right w:val="single" w:color="auto" w:sz="6" w:space="0"/>
            </w:tcBorders>
            <w:vAlign w:val="center"/>
          </w:tcPr>
          <w:p w14:paraId="5E077A7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14:paraId="48AA1FE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14:paraId="0F950EC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14:paraId="15682B3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14:paraId="2FD16E8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14:paraId="56B2C6E5">
      <w:pPr>
        <w:keepNext w:val="0"/>
        <w:keepLines w:val="0"/>
        <w:pageBreakBefore w:val="0"/>
        <w:kinsoku/>
        <w:overflowPunct/>
        <w:topLinePunct w:val="0"/>
        <w:bidi w:val="0"/>
        <w:adjustRightInd w:val="0"/>
        <w:snapToGrid w:val="0"/>
        <w:spacing w:line="440" w:lineRule="exact"/>
        <w:outlineLvl w:val="9"/>
        <w:rPr>
          <w:rFonts w:hint="eastAsia" w:ascii="宋体" w:hAnsi="宋体" w:cs="宋体" w:eastAsiaTheme="minorEastAsia"/>
          <w:bCs/>
          <w:sz w:val="24"/>
          <w:highlight w:val="none"/>
          <w:lang w:eastAsia="zh-CN"/>
        </w:rPr>
        <w:sectPr>
          <w:headerReference r:id="rId11" w:type="first"/>
          <w:footerReference r:id="rId13" w:type="first"/>
          <w:headerReference r:id="rId10" w:type="default"/>
          <w:footerReference r:id="rId12" w:type="default"/>
          <w:pgSz w:w="16838" w:h="11906" w:orient="landscape"/>
          <w:pgMar w:top="1797" w:right="1109" w:bottom="1416" w:left="144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sz w:val="24"/>
          <w:highlight w:val="none"/>
        </w:rPr>
        <w:t>评委签名：                   评审日期</w:t>
      </w:r>
      <w:r>
        <w:rPr>
          <w:rFonts w:hint="eastAsia" w:ascii="宋体" w:hAnsi="宋体" w:cs="宋体"/>
          <w:bCs/>
          <w:sz w:val="24"/>
          <w:highlight w:val="none"/>
          <w:lang w:eastAsia="zh-CN"/>
        </w:rPr>
        <w:t>：</w:t>
      </w:r>
    </w:p>
    <w:p w14:paraId="1B1053AD">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、技术商务评分汇总表</w:t>
      </w:r>
    </w:p>
    <w:p w14:paraId="44ED70EF">
      <w:pPr>
        <w:pStyle w:val="24"/>
        <w:keepNext w:val="0"/>
        <w:keepLines w:val="0"/>
        <w:pageBreakBefore w:val="0"/>
        <w:kinsoku/>
        <w:overflowPunct/>
        <w:topLinePunct w:val="0"/>
        <w:bidi w:val="0"/>
        <w:spacing w:line="440" w:lineRule="exact"/>
        <w:outlineLvl w:val="9"/>
        <w:rPr>
          <w:highlight w:val="none"/>
        </w:rPr>
      </w:pPr>
    </w:p>
    <w:p w14:paraId="26D0294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14:paraId="503177C0">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321"/>
        <w:gridCol w:w="1002"/>
        <w:gridCol w:w="1002"/>
        <w:gridCol w:w="1002"/>
        <w:gridCol w:w="1002"/>
        <w:gridCol w:w="1006"/>
        <w:gridCol w:w="780"/>
        <w:gridCol w:w="763"/>
      </w:tblGrid>
      <w:tr w14:paraId="3234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2" w:type="dxa"/>
            <w:vAlign w:val="center"/>
          </w:tcPr>
          <w:p w14:paraId="14F615B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321" w:type="dxa"/>
            <w:vAlign w:val="center"/>
          </w:tcPr>
          <w:p w14:paraId="5B6BBC7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62B291C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02" w:type="dxa"/>
            <w:vAlign w:val="center"/>
          </w:tcPr>
          <w:p w14:paraId="4D599050">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评委1</w:t>
            </w:r>
          </w:p>
          <w:p w14:paraId="1BBD03C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2" w:type="dxa"/>
            <w:vAlign w:val="center"/>
          </w:tcPr>
          <w:p w14:paraId="30A595A3">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评委2</w:t>
            </w:r>
          </w:p>
          <w:p w14:paraId="7538D2F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2" w:type="dxa"/>
            <w:vAlign w:val="center"/>
          </w:tcPr>
          <w:p w14:paraId="19427780">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评委3</w:t>
            </w:r>
          </w:p>
          <w:p w14:paraId="35BBC51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2" w:type="dxa"/>
            <w:vAlign w:val="center"/>
          </w:tcPr>
          <w:p w14:paraId="4314BE5F">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评委4</w:t>
            </w:r>
          </w:p>
          <w:p w14:paraId="2F4D712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6" w:type="dxa"/>
            <w:vAlign w:val="center"/>
          </w:tcPr>
          <w:p w14:paraId="295023B5">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评委5</w:t>
            </w:r>
          </w:p>
          <w:p w14:paraId="16BA0824">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评分</w:t>
            </w:r>
          </w:p>
        </w:tc>
        <w:tc>
          <w:tcPr>
            <w:tcW w:w="780" w:type="dxa"/>
            <w:vAlign w:val="center"/>
          </w:tcPr>
          <w:p w14:paraId="76BF8359">
            <w:pPr>
              <w:keepNext w:val="0"/>
              <w:keepLines w:val="0"/>
              <w:pageBreakBefore w:val="0"/>
              <w:kinsoku/>
              <w:overflowPunct/>
              <w:topLinePunct w:val="0"/>
              <w:bidi w:val="0"/>
              <w:spacing w:line="440" w:lineRule="exact"/>
              <w:jc w:val="center"/>
              <w:outlineLvl w:val="9"/>
              <w:rPr>
                <w:rFonts w:hint="eastAsia" w:ascii="宋体" w:hAnsi="宋体" w:cs="宋体"/>
                <w:szCs w:val="21"/>
                <w:highlight w:val="none"/>
              </w:rPr>
            </w:pPr>
            <w:r>
              <w:rPr>
                <w:rFonts w:hint="eastAsia" w:ascii="宋体" w:hAnsi="宋体" w:cs="宋体"/>
                <w:szCs w:val="21"/>
                <w:highlight w:val="none"/>
              </w:rPr>
              <w:t>平均</w:t>
            </w:r>
          </w:p>
          <w:p w14:paraId="4C3E4B2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763" w:type="dxa"/>
            <w:vAlign w:val="center"/>
          </w:tcPr>
          <w:p w14:paraId="1D2F10B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2093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vAlign w:val="center"/>
          </w:tcPr>
          <w:p w14:paraId="221F1F5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321" w:type="dxa"/>
            <w:vAlign w:val="center"/>
          </w:tcPr>
          <w:p w14:paraId="6972F60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02" w:type="dxa"/>
            <w:vAlign w:val="center"/>
          </w:tcPr>
          <w:p w14:paraId="2C74F53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414739C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2B50059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789460F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5607B80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59FE319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59A5EFB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08D2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vAlign w:val="center"/>
          </w:tcPr>
          <w:p w14:paraId="5D8E4A1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321" w:type="dxa"/>
            <w:vAlign w:val="center"/>
          </w:tcPr>
          <w:p w14:paraId="0DAD83D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02" w:type="dxa"/>
            <w:vAlign w:val="center"/>
          </w:tcPr>
          <w:p w14:paraId="6CC07B8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401B526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7047A9F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580DF68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4F425ED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3060CF2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6ED2EC8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AF0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vAlign w:val="center"/>
          </w:tcPr>
          <w:p w14:paraId="5B6299A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321" w:type="dxa"/>
            <w:vAlign w:val="center"/>
          </w:tcPr>
          <w:p w14:paraId="22DF76B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02" w:type="dxa"/>
            <w:vAlign w:val="center"/>
          </w:tcPr>
          <w:p w14:paraId="6870984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2CFC8A5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6631435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605F7BA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425C1CA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2557CFD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7D6B1F6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5892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2" w:type="dxa"/>
            <w:vAlign w:val="center"/>
          </w:tcPr>
          <w:p w14:paraId="7037183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321" w:type="dxa"/>
            <w:vAlign w:val="center"/>
          </w:tcPr>
          <w:p w14:paraId="39364A4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02" w:type="dxa"/>
            <w:vAlign w:val="center"/>
          </w:tcPr>
          <w:p w14:paraId="79525C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6DD2EF9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18001DA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353F94D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1C048BF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5D71CD2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2E74F03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1D55D5AA">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4E518305">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3A05FE11">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601723BC">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6069F7B8">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14:paraId="3614D18B">
      <w:pPr>
        <w:pStyle w:val="2"/>
        <w:rPr>
          <w:rFonts w:ascii="宋体" w:hAnsi="宋体" w:cs="宋体"/>
          <w:sz w:val="24"/>
          <w:szCs w:val="24"/>
        </w:rPr>
      </w:pPr>
    </w:p>
    <w:p w14:paraId="6E59E84E">
      <w:pPr>
        <w:pStyle w:val="2"/>
        <w:rPr>
          <w:rFonts w:ascii="宋体" w:hAnsi="宋体" w:cs="宋体"/>
          <w:sz w:val="24"/>
          <w:szCs w:val="24"/>
        </w:rPr>
      </w:pPr>
    </w:p>
    <w:p w14:paraId="7A65D47B">
      <w:pPr>
        <w:pStyle w:val="2"/>
        <w:rPr>
          <w:rFonts w:ascii="宋体" w:hAnsi="宋体" w:cs="宋体"/>
          <w:sz w:val="24"/>
          <w:szCs w:val="24"/>
        </w:rPr>
      </w:pPr>
    </w:p>
    <w:p w14:paraId="76B166CB">
      <w:pPr>
        <w:pStyle w:val="2"/>
        <w:rPr>
          <w:rFonts w:ascii="宋体" w:hAnsi="宋体" w:cs="宋体"/>
          <w:sz w:val="24"/>
          <w:szCs w:val="24"/>
        </w:rPr>
      </w:pPr>
    </w:p>
    <w:p w14:paraId="051AF751">
      <w:pPr>
        <w:pStyle w:val="2"/>
        <w:rPr>
          <w:rFonts w:ascii="宋体" w:hAnsi="宋体" w:cs="宋体"/>
          <w:sz w:val="24"/>
          <w:szCs w:val="24"/>
        </w:rPr>
      </w:pPr>
    </w:p>
    <w:p w14:paraId="195F6116">
      <w:pPr>
        <w:pStyle w:val="2"/>
        <w:rPr>
          <w:rFonts w:ascii="宋体" w:hAnsi="宋体" w:cs="宋体"/>
          <w:sz w:val="24"/>
          <w:szCs w:val="24"/>
        </w:rPr>
      </w:pPr>
    </w:p>
    <w:p w14:paraId="02E2010E">
      <w:pPr>
        <w:pStyle w:val="2"/>
        <w:rPr>
          <w:rFonts w:ascii="宋体" w:hAnsi="宋体" w:cs="宋体"/>
          <w:sz w:val="24"/>
          <w:szCs w:val="24"/>
        </w:rPr>
      </w:pPr>
    </w:p>
    <w:p w14:paraId="3DF8E3C9">
      <w:pPr>
        <w:pStyle w:val="2"/>
        <w:rPr>
          <w:rFonts w:ascii="宋体" w:hAnsi="宋体" w:cs="宋体"/>
          <w:sz w:val="24"/>
          <w:szCs w:val="24"/>
        </w:rPr>
      </w:pPr>
    </w:p>
    <w:p w14:paraId="2BF6FCD6">
      <w:pPr>
        <w:pStyle w:val="2"/>
        <w:rPr>
          <w:rFonts w:ascii="宋体" w:hAnsi="宋体" w:cs="宋体"/>
          <w:sz w:val="24"/>
          <w:szCs w:val="24"/>
        </w:rPr>
      </w:pPr>
    </w:p>
    <w:p w14:paraId="4D64CB2C">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3008D009">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0791594B">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八 </w:t>
      </w:r>
      <w:r>
        <w:rPr>
          <w:rFonts w:hint="eastAsia" w:ascii="宋体" w:hAnsi="宋体" w:cs="宋体"/>
          <w:sz w:val="24"/>
          <w:highlight w:val="none"/>
        </w:rPr>
        <w:t>、价格评分汇总表</w:t>
      </w:r>
    </w:p>
    <w:p w14:paraId="22FA407B">
      <w:pPr>
        <w:pStyle w:val="24"/>
        <w:keepNext w:val="0"/>
        <w:keepLines w:val="0"/>
        <w:pageBreakBefore w:val="0"/>
        <w:kinsoku/>
        <w:overflowPunct/>
        <w:topLinePunct w:val="0"/>
        <w:bidi w:val="0"/>
        <w:spacing w:line="440" w:lineRule="exact"/>
        <w:outlineLvl w:val="9"/>
        <w:rPr>
          <w:highlight w:val="none"/>
        </w:rPr>
      </w:pPr>
    </w:p>
    <w:p w14:paraId="2178FE1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价格评分汇总表</w:t>
      </w:r>
    </w:p>
    <w:p w14:paraId="526FA524">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14:paraId="4ED4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75987C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3720" w:type="dxa"/>
            <w:vAlign w:val="center"/>
          </w:tcPr>
          <w:p w14:paraId="471F63A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5DFAB85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14:paraId="0829CD4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14:paraId="625CF29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14:paraId="54F17DD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864" w:type="dxa"/>
            <w:vAlign w:val="center"/>
          </w:tcPr>
          <w:p w14:paraId="12D569D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35A6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A82B3B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20" w:type="dxa"/>
            <w:vAlign w:val="center"/>
          </w:tcPr>
          <w:p w14:paraId="6C7D98A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320" w:type="dxa"/>
            <w:vAlign w:val="center"/>
          </w:tcPr>
          <w:p w14:paraId="7E63614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restart"/>
            <w:vAlign w:val="center"/>
          </w:tcPr>
          <w:p w14:paraId="098EF64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7FDA887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6F681F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75E9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86A89C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20" w:type="dxa"/>
            <w:vAlign w:val="center"/>
          </w:tcPr>
          <w:p w14:paraId="018B590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320" w:type="dxa"/>
            <w:vAlign w:val="center"/>
          </w:tcPr>
          <w:p w14:paraId="0D1E484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7D87AFB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7A51A99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47DCF80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14B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9B730E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20" w:type="dxa"/>
            <w:vAlign w:val="center"/>
          </w:tcPr>
          <w:p w14:paraId="1A29C87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320" w:type="dxa"/>
            <w:vAlign w:val="center"/>
          </w:tcPr>
          <w:p w14:paraId="6048A14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3484C91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7B1124F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3F3A6DF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4EC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935226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3720" w:type="dxa"/>
            <w:vAlign w:val="center"/>
          </w:tcPr>
          <w:p w14:paraId="75172AA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320" w:type="dxa"/>
            <w:vAlign w:val="center"/>
          </w:tcPr>
          <w:p w14:paraId="20389B1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63B3ADD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500DAAF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3F456E9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7216E106">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1AF0A849">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08192B67">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7D1E3E66">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01248D62">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Cs/>
          <w:sz w:val="24"/>
          <w:highlight w:val="none"/>
        </w:rPr>
        <w:t>评审日期：</w:t>
      </w:r>
    </w:p>
    <w:p w14:paraId="4974984B">
      <w:pPr>
        <w:pStyle w:val="2"/>
        <w:rPr>
          <w:rFonts w:ascii="宋体" w:hAnsi="宋体" w:cs="宋体"/>
          <w:sz w:val="24"/>
          <w:szCs w:val="24"/>
        </w:rPr>
      </w:pPr>
    </w:p>
    <w:p w14:paraId="2A4B7408">
      <w:pPr>
        <w:rPr>
          <w:rFonts w:ascii="宋体" w:hAnsi="宋体" w:cs="宋体"/>
          <w:sz w:val="24"/>
        </w:rPr>
      </w:pPr>
    </w:p>
    <w:p w14:paraId="7D441109">
      <w:pPr>
        <w:pStyle w:val="16"/>
        <w:ind w:firstLine="240"/>
        <w:rPr>
          <w:rFonts w:ascii="宋体" w:hAnsi="宋体" w:cs="宋体"/>
          <w:sz w:val="24"/>
          <w:szCs w:val="24"/>
        </w:rPr>
      </w:pPr>
    </w:p>
    <w:p w14:paraId="1F3A91EF">
      <w:pPr>
        <w:pStyle w:val="11"/>
        <w:adjustRightInd w:val="0"/>
        <w:snapToGrid w:val="0"/>
        <w:spacing w:line="560" w:lineRule="exact"/>
        <w:jc w:val="center"/>
        <w:outlineLvl w:val="0"/>
        <w:rPr>
          <w:rFonts w:hAnsi="宋体" w:cs="宋体"/>
          <w:b/>
          <w:bCs/>
          <w:sz w:val="44"/>
          <w:szCs w:val="44"/>
        </w:rPr>
      </w:pPr>
    </w:p>
    <w:p w14:paraId="7BF4DE82">
      <w:pPr>
        <w:rPr>
          <w:rFonts w:hint="eastAsia" w:hAnsi="宋体" w:cs="宋体"/>
          <w:b/>
          <w:bCs/>
          <w:sz w:val="44"/>
          <w:szCs w:val="44"/>
        </w:rPr>
      </w:pPr>
    </w:p>
    <w:p w14:paraId="3FA7F3C9">
      <w:pPr>
        <w:rPr>
          <w:rFonts w:hint="eastAsia" w:hAnsi="宋体" w:cs="宋体"/>
          <w:b/>
          <w:bCs/>
          <w:sz w:val="44"/>
          <w:szCs w:val="44"/>
        </w:rPr>
      </w:pPr>
    </w:p>
    <w:p w14:paraId="3FEF2887">
      <w:pPr>
        <w:rPr>
          <w:rFonts w:hint="eastAsia" w:hAnsi="宋体" w:cs="宋体"/>
          <w:b/>
          <w:bCs/>
          <w:sz w:val="44"/>
          <w:szCs w:val="44"/>
        </w:rPr>
      </w:pPr>
    </w:p>
    <w:p w14:paraId="4D9854F1">
      <w:pPr>
        <w:rPr>
          <w:rFonts w:hint="eastAsia" w:hAnsi="宋体" w:cs="宋体"/>
          <w:b/>
          <w:bCs/>
          <w:sz w:val="44"/>
          <w:szCs w:val="44"/>
        </w:rPr>
      </w:pPr>
    </w:p>
    <w:p w14:paraId="15498958">
      <w:pPr>
        <w:rPr>
          <w:rFonts w:hint="eastAsia" w:hAnsi="宋体" w:cs="宋体"/>
          <w:b/>
          <w:bCs/>
          <w:sz w:val="44"/>
          <w:szCs w:val="44"/>
        </w:rPr>
      </w:pPr>
    </w:p>
    <w:p w14:paraId="1CC3168F">
      <w:pPr>
        <w:rPr>
          <w:rFonts w:hint="eastAsia" w:hAnsi="宋体" w:cs="宋体"/>
          <w:b/>
          <w:bCs/>
          <w:sz w:val="44"/>
          <w:szCs w:val="44"/>
        </w:rPr>
      </w:pPr>
    </w:p>
    <w:p w14:paraId="1983D741">
      <w:pPr>
        <w:rPr>
          <w:rFonts w:hint="eastAsia" w:hAnsi="宋体" w:cs="宋体"/>
          <w:b/>
          <w:bCs/>
          <w:sz w:val="44"/>
          <w:szCs w:val="44"/>
        </w:rPr>
      </w:pPr>
    </w:p>
    <w:p w14:paraId="1E7C2489">
      <w:pPr>
        <w:rPr>
          <w:rFonts w:hint="eastAsia" w:hAnsi="宋体" w:cs="宋体"/>
          <w:b/>
          <w:bCs/>
          <w:sz w:val="44"/>
          <w:szCs w:val="44"/>
        </w:rPr>
      </w:pPr>
    </w:p>
    <w:p w14:paraId="6A03E44D">
      <w:pPr>
        <w:keepNext w:val="0"/>
        <w:keepLines w:val="0"/>
        <w:pageBreakBefore w:val="0"/>
        <w:kinsoku/>
        <w:overflowPunct/>
        <w:topLinePunct w:val="0"/>
        <w:bidi w:val="0"/>
        <w:spacing w:line="440" w:lineRule="exact"/>
        <w:ind w:firstLine="420" w:firstLineChars="200"/>
        <w:outlineLvl w:val="9"/>
        <w:rPr>
          <w:rFonts w:hint="eastAsia"/>
          <w:highlight w:val="none"/>
        </w:rPr>
      </w:pPr>
    </w:p>
    <w:p w14:paraId="58937710">
      <w:pPr>
        <w:keepNext w:val="0"/>
        <w:keepLines w:val="0"/>
        <w:pageBreakBefore w:val="0"/>
        <w:kinsoku/>
        <w:overflowPunct/>
        <w:topLinePunct w:val="0"/>
        <w:bidi w:val="0"/>
        <w:spacing w:line="440" w:lineRule="exact"/>
        <w:ind w:firstLine="420" w:firstLineChars="200"/>
        <w:outlineLvl w:val="9"/>
        <w:rPr>
          <w:rFonts w:ascii="宋体" w:hAnsi="宋体" w:cs="宋体"/>
          <w:sz w:val="24"/>
          <w:highlight w:val="none"/>
        </w:rPr>
      </w:pPr>
      <w:r>
        <w:rPr>
          <w:rFonts w:hint="eastAsia"/>
          <w:highlight w:val="none"/>
          <w:lang w:val="en-US" w:eastAsia="zh-CN"/>
        </w:rPr>
        <w:t>九</w:t>
      </w:r>
      <w:r>
        <w:rPr>
          <w:rFonts w:hint="eastAsia" w:ascii="宋体" w:hAnsi="宋体" w:cs="宋体"/>
          <w:sz w:val="24"/>
          <w:highlight w:val="none"/>
        </w:rPr>
        <w:t>、评审结果汇总表</w:t>
      </w:r>
    </w:p>
    <w:p w14:paraId="4569590F">
      <w:pPr>
        <w:keepNext w:val="0"/>
        <w:keepLines w:val="0"/>
        <w:pageBreakBefore w:val="0"/>
        <w:kinsoku/>
        <w:overflowPunct/>
        <w:topLinePunct w:val="0"/>
        <w:bidi w:val="0"/>
        <w:spacing w:line="440" w:lineRule="exact"/>
        <w:outlineLvl w:val="9"/>
        <w:rPr>
          <w:rFonts w:ascii="宋体" w:hAnsi="宋体" w:cs="宋体"/>
          <w:sz w:val="24"/>
          <w:highlight w:val="none"/>
        </w:rPr>
      </w:pPr>
    </w:p>
    <w:p w14:paraId="2D738436">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14:paraId="542070F2">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213"/>
        <w:gridCol w:w="1029"/>
        <w:gridCol w:w="1389"/>
        <w:gridCol w:w="1004"/>
        <w:gridCol w:w="1145"/>
        <w:gridCol w:w="875"/>
        <w:gridCol w:w="835"/>
      </w:tblGrid>
      <w:tr w14:paraId="162E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5" w:type="dxa"/>
            <w:vAlign w:val="center"/>
          </w:tcPr>
          <w:p w14:paraId="7C8540A0">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213" w:type="dxa"/>
            <w:vAlign w:val="center"/>
          </w:tcPr>
          <w:p w14:paraId="73CB5F3A">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潜在供应商名称</w:t>
            </w:r>
          </w:p>
          <w:p w14:paraId="723A289B">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29" w:type="dxa"/>
            <w:vAlign w:val="center"/>
          </w:tcPr>
          <w:p w14:paraId="4B1477DB">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389" w:type="dxa"/>
            <w:vAlign w:val="center"/>
          </w:tcPr>
          <w:p w14:paraId="08A2AC32">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1004" w:type="dxa"/>
            <w:vAlign w:val="center"/>
          </w:tcPr>
          <w:p w14:paraId="64D1CA70">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价格</w:t>
            </w:r>
          </w:p>
          <w:p w14:paraId="20CC7B5C">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得分</w:t>
            </w:r>
          </w:p>
        </w:tc>
        <w:tc>
          <w:tcPr>
            <w:tcW w:w="1145" w:type="dxa"/>
            <w:vAlign w:val="center"/>
          </w:tcPr>
          <w:p w14:paraId="0630C3AF">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875" w:type="dxa"/>
            <w:vAlign w:val="center"/>
          </w:tcPr>
          <w:p w14:paraId="329F8BDF">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szCs w:val="24"/>
                <w:highlight w:val="none"/>
              </w:rPr>
              <w:t>总得分</w:t>
            </w:r>
          </w:p>
        </w:tc>
        <w:tc>
          <w:tcPr>
            <w:tcW w:w="835" w:type="dxa"/>
            <w:vAlign w:val="center"/>
          </w:tcPr>
          <w:p w14:paraId="3048004A">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排名</w:t>
            </w:r>
          </w:p>
        </w:tc>
      </w:tr>
      <w:tr w14:paraId="144A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vAlign w:val="center"/>
          </w:tcPr>
          <w:p w14:paraId="5C9F654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213" w:type="dxa"/>
            <w:vAlign w:val="center"/>
          </w:tcPr>
          <w:p w14:paraId="106D0AE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29" w:type="dxa"/>
            <w:vAlign w:val="center"/>
          </w:tcPr>
          <w:p w14:paraId="0B5CDE9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08BA64C4">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1004" w:type="dxa"/>
            <w:vAlign w:val="center"/>
          </w:tcPr>
          <w:p w14:paraId="7C50267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6809BC6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1430FFF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6CFB0D8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DFF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vAlign w:val="center"/>
          </w:tcPr>
          <w:p w14:paraId="354AC36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213" w:type="dxa"/>
            <w:vAlign w:val="center"/>
          </w:tcPr>
          <w:p w14:paraId="66DB788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9" w:type="dxa"/>
            <w:vAlign w:val="center"/>
          </w:tcPr>
          <w:p w14:paraId="6B9809D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73FAA86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4" w:type="dxa"/>
            <w:vAlign w:val="center"/>
          </w:tcPr>
          <w:p w14:paraId="2E2BBCA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35B5868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39DAEF9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74C775E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22DD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vAlign w:val="center"/>
          </w:tcPr>
          <w:p w14:paraId="1303FC5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213" w:type="dxa"/>
            <w:vAlign w:val="center"/>
          </w:tcPr>
          <w:p w14:paraId="45429B1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9" w:type="dxa"/>
            <w:vAlign w:val="center"/>
          </w:tcPr>
          <w:p w14:paraId="4CFA807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26471E5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4" w:type="dxa"/>
            <w:vAlign w:val="center"/>
          </w:tcPr>
          <w:p w14:paraId="3A487C9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475B57C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7649FF7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48AC270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1E16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5" w:type="dxa"/>
            <w:vAlign w:val="center"/>
          </w:tcPr>
          <w:p w14:paraId="1882DB4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213" w:type="dxa"/>
            <w:vAlign w:val="center"/>
          </w:tcPr>
          <w:p w14:paraId="3C0388D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29" w:type="dxa"/>
            <w:vAlign w:val="center"/>
          </w:tcPr>
          <w:p w14:paraId="31E6DEF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1A29001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4" w:type="dxa"/>
            <w:vAlign w:val="center"/>
          </w:tcPr>
          <w:p w14:paraId="769CEE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04935C4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3D18B93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407327E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375DB088">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14:paraId="41702888">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14:paraId="6BA62EA4">
      <w:pPr>
        <w:keepNext w:val="0"/>
        <w:keepLines w:val="0"/>
        <w:pageBreakBefore w:val="0"/>
        <w:kinsoku/>
        <w:overflowPunct/>
        <w:topLinePunct w:val="0"/>
        <w:bidi w:val="0"/>
        <w:spacing w:line="440" w:lineRule="exact"/>
        <w:outlineLvl w:val="9"/>
        <w:rPr>
          <w:rFonts w:ascii="宋体" w:hAnsi="宋体" w:cs="宋体"/>
          <w:sz w:val="24"/>
          <w:highlight w:val="none"/>
        </w:rPr>
      </w:pPr>
    </w:p>
    <w:p w14:paraId="66050114">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6E19E760">
      <w:pPr>
        <w:keepNext w:val="0"/>
        <w:keepLines w:val="0"/>
        <w:pageBreakBefore w:val="0"/>
        <w:kinsoku/>
        <w:overflowPunct/>
        <w:topLinePunct w:val="0"/>
        <w:bidi w:val="0"/>
        <w:spacing w:line="440" w:lineRule="exact"/>
        <w:outlineLvl w:val="9"/>
        <w:rPr>
          <w:rFonts w:ascii="宋体" w:hAnsi="宋体" w:cs="宋体"/>
          <w:sz w:val="24"/>
          <w:highlight w:val="none"/>
        </w:rPr>
      </w:pPr>
    </w:p>
    <w:p w14:paraId="4BC90935">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14:paraId="5C14C321">
      <w:pPr>
        <w:rPr>
          <w:rFonts w:hAnsi="宋体" w:cs="宋体"/>
          <w:b/>
          <w:bCs/>
          <w:sz w:val="44"/>
          <w:szCs w:val="44"/>
        </w:rPr>
      </w:pPr>
      <w:r>
        <w:rPr>
          <w:rFonts w:hint="eastAsia" w:hAnsi="宋体" w:cs="宋体"/>
          <w:b/>
          <w:bCs/>
          <w:sz w:val="44"/>
          <w:szCs w:val="44"/>
        </w:rPr>
        <w:br w:type="page"/>
      </w:r>
    </w:p>
    <w:p w14:paraId="21846689">
      <w:pPr>
        <w:pStyle w:val="11"/>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51C530AF"/>
    <w:p w14:paraId="6568406B">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b/>
          <w:sz w:val="96"/>
          <w:szCs w:val="96"/>
          <w:highlight w:val="none"/>
        </w:rPr>
      </w:pPr>
      <w:bookmarkStart w:id="2" w:name="_Toc20379"/>
      <w:bookmarkStart w:id="3" w:name="_Toc202251075"/>
      <w:bookmarkStart w:id="4" w:name="_Toc202251700"/>
      <w:bookmarkStart w:id="5" w:name="_Toc202252034"/>
      <w:bookmarkStart w:id="6" w:name="_Toc202820351"/>
      <w:bookmarkStart w:id="7" w:name="_Toc202819878"/>
      <w:bookmarkStart w:id="8" w:name="_Toc449531300"/>
      <w:bookmarkStart w:id="9" w:name="_Toc276645579"/>
      <w:bookmarkStart w:id="10" w:name="_Toc202254105"/>
      <w:bookmarkStart w:id="11" w:name="_Toc259090982"/>
      <w:bookmarkStart w:id="12" w:name="_Toc6727973"/>
      <w:bookmarkStart w:id="13" w:name="_Toc32977098"/>
      <w:bookmarkStart w:id="14" w:name="_Toc6397152"/>
      <w:bookmarkStart w:id="15" w:name="_Toc202816996"/>
    </w:p>
    <w:p w14:paraId="74DBA99A">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b/>
          <w:sz w:val="96"/>
          <w:szCs w:val="96"/>
          <w:highlight w:val="none"/>
        </w:rPr>
      </w:pPr>
    </w:p>
    <w:p w14:paraId="76C74F07">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b/>
          <w:sz w:val="96"/>
          <w:szCs w:val="96"/>
          <w:highlight w:val="none"/>
        </w:rPr>
      </w:pPr>
    </w:p>
    <w:p w14:paraId="4BD37E14">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44"/>
          <w:szCs w:val="44"/>
          <w:highlight w:val="none"/>
        </w:rPr>
      </w:pPr>
      <w:r>
        <w:rPr>
          <w:rFonts w:hint="eastAsia" w:ascii="Times New Roman" w:hAnsi="Times New Roman"/>
          <w:b/>
          <w:sz w:val="96"/>
          <w:szCs w:val="96"/>
          <w:highlight w:val="none"/>
        </w:rPr>
        <w:t>参 评 文 件</w:t>
      </w:r>
    </w:p>
    <w:p w14:paraId="282368E0">
      <w:pPr>
        <w:pStyle w:val="11"/>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14:paraId="0F4A41C2">
      <w:pPr>
        <w:pStyle w:val="11"/>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14:paraId="4AD9D537">
      <w:pPr>
        <w:pStyle w:val="11"/>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 </w:t>
      </w:r>
    </w:p>
    <w:p w14:paraId="14B2F0B3">
      <w:pPr>
        <w:pStyle w:val="11"/>
        <w:keepNext w:val="0"/>
        <w:keepLines w:val="0"/>
        <w:pageBreakBefore w:val="0"/>
        <w:kinsoku/>
        <w:overflowPunct/>
        <w:topLinePunct w:val="0"/>
        <w:bidi w:val="0"/>
        <w:spacing w:line="440" w:lineRule="exact"/>
        <w:jc w:val="center"/>
        <w:outlineLvl w:val="9"/>
        <w:rPr>
          <w:rFonts w:hint="eastAsia" w:ascii="Times New Roman" w:hAnsi="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b/>
          <w:sz w:val="32"/>
          <w:szCs w:val="32"/>
          <w:highlight w:val="none"/>
        </w:rPr>
        <w:t>项目名称：</w:t>
      </w:r>
      <w:r>
        <w:rPr>
          <w:rFonts w:hint="eastAsia" w:ascii="Times New Roman" w:hAnsi="Times New Roman"/>
          <w:b/>
          <w:color w:val="000000" w:themeColor="text1"/>
          <w:sz w:val="32"/>
          <w:szCs w:val="32"/>
          <w:highlight w:val="none"/>
          <w14:textFill>
            <w14:solidFill>
              <w14:schemeClr w14:val="tx1"/>
            </w14:solidFill>
          </w14:textFill>
        </w:rPr>
        <w:t>中山市公共交通运输集团有限公司</w:t>
      </w:r>
      <w:r>
        <w:rPr>
          <w:rFonts w:hint="eastAsia" w:ascii="Times New Roman" w:hAnsi="Times New Roman"/>
          <w:b/>
          <w:color w:val="000000" w:themeColor="text1"/>
          <w:sz w:val="32"/>
          <w:szCs w:val="32"/>
          <w:highlight w:val="none"/>
          <w:lang w:val="en-US" w:eastAsia="zh-CN"/>
          <w14:textFill>
            <w14:solidFill>
              <w14:schemeClr w14:val="tx1"/>
            </w14:solidFill>
          </w14:textFill>
        </w:rPr>
        <w:t>市场化板块</w:t>
      </w:r>
    </w:p>
    <w:p w14:paraId="313841F4">
      <w:pPr>
        <w:pStyle w:val="11"/>
        <w:keepNext w:val="0"/>
        <w:keepLines w:val="0"/>
        <w:pageBreakBefore w:val="0"/>
        <w:kinsoku/>
        <w:overflowPunct/>
        <w:topLinePunct w:val="0"/>
        <w:bidi w:val="0"/>
        <w:spacing w:line="440" w:lineRule="exact"/>
        <w:jc w:val="center"/>
        <w:outlineLvl w:val="9"/>
        <w:rPr>
          <w:rFonts w:hint="eastAsia" w:ascii="Times New Roman" w:hAnsi="Times New Roman" w:eastAsia="宋体"/>
          <w:b/>
          <w:color w:val="FF0000"/>
          <w:sz w:val="32"/>
          <w:szCs w:val="32"/>
          <w:highlight w:val="none"/>
          <w:lang w:eastAsia="zh-CN"/>
        </w:rPr>
      </w:pPr>
      <w:r>
        <w:rPr>
          <w:rFonts w:hint="eastAsia" w:ascii="Times New Roman" w:hAnsi="Times New Roman"/>
          <w:b/>
          <w:color w:val="000000" w:themeColor="text1"/>
          <w:sz w:val="32"/>
          <w:szCs w:val="32"/>
          <w:highlight w:val="none"/>
          <w:lang w:val="en-US" w:eastAsia="zh-CN"/>
          <w14:textFill>
            <w14:solidFill>
              <w14:schemeClr w14:val="tx1"/>
            </w14:solidFill>
          </w14:textFill>
        </w:rPr>
        <w:t xml:space="preserve">    子公司人才激励约束机制优化咨询项目（第二次）</w:t>
      </w:r>
    </w:p>
    <w:p w14:paraId="2AAD6382">
      <w:pPr>
        <w:pStyle w:val="11"/>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14:paraId="6D72EB9E">
      <w:pPr>
        <w:pStyle w:val="11"/>
        <w:keepNext w:val="0"/>
        <w:keepLines w:val="0"/>
        <w:pageBreakBefore w:val="0"/>
        <w:kinsoku/>
        <w:overflowPunct/>
        <w:topLinePunct w:val="0"/>
        <w:bidi w:val="0"/>
        <w:spacing w:line="440" w:lineRule="exact"/>
        <w:ind w:firstLine="321" w:firstLineChars="100"/>
        <w:outlineLvl w:val="9"/>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14:paraId="707A9E2E">
      <w:pPr>
        <w:pStyle w:val="11"/>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14:paraId="595300FF">
      <w:pPr>
        <w:pStyle w:val="11"/>
        <w:keepNext w:val="0"/>
        <w:keepLines w:val="0"/>
        <w:pageBreakBefore w:val="0"/>
        <w:kinsoku/>
        <w:overflowPunct/>
        <w:topLinePunct w:val="0"/>
        <w:bidi w:val="0"/>
        <w:spacing w:line="440" w:lineRule="exact"/>
        <w:ind w:firstLine="321" w:firstLineChars="100"/>
        <w:outlineLvl w:val="9"/>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071D2DC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B3AA636">
      <w:pPr>
        <w:pStyle w:val="3"/>
        <w:rPr>
          <w:rFonts w:hint="eastAsia" w:ascii="宋体" w:hAnsi="宋体" w:eastAsia="宋体"/>
          <w:bCs w:val="0"/>
          <w:sz w:val="28"/>
          <w:szCs w:val="28"/>
        </w:rPr>
        <w:sectPr>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41C96EC6">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格式1 承诺函</w:t>
      </w:r>
    </w:p>
    <w:p w14:paraId="10E3E5C1">
      <w:pPr>
        <w:pStyle w:val="2"/>
      </w:pPr>
    </w:p>
    <w:p w14:paraId="0236A119">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14:paraId="03465B44">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2DE7C560">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中山市公共交通运输集团有限公司市场化板块子公司人才激励约束机制优化咨询项目</w:t>
      </w:r>
      <w:r>
        <w:rPr>
          <w:rFonts w:hint="eastAsia" w:asciiTheme="minorEastAsia" w:hAnsiTheme="minorEastAsia" w:cstheme="minorEastAsia"/>
          <w:bCs/>
          <w:color w:val="000000" w:themeColor="text1"/>
          <w:sz w:val="24"/>
          <w:szCs w:val="24"/>
          <w:u w:val="single"/>
          <w:lang w:val="en-US" w:eastAsia="zh-CN"/>
          <w14:textFill>
            <w14:solidFill>
              <w14:schemeClr w14:val="tx1"/>
            </w14:solidFill>
          </w14:textFill>
        </w:rPr>
        <w:t>（第二次）</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14:paraId="1B6A346B">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1.同意并接受采购文件的各项要求，完全接受贵方设定的全部条款，满足采购文件中的各项需求（详见《需求响应表》），按采购文件的要求提供报价（详见报价表）。</w:t>
      </w:r>
    </w:p>
    <w:p w14:paraId="2FC2E6C5">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5217901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14:paraId="6E1A174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w:t>
      </w:r>
      <w:r>
        <w:rPr>
          <w:rFonts w:hint="eastAsia" w:ascii="宋体" w:hAnsi="宋体" w:cs="宋体"/>
          <w:bCs/>
          <w:sz w:val="24"/>
          <w:highlight w:val="none"/>
          <w:lang w:eastAsia="zh-CN"/>
        </w:rPr>
        <w:t>或其他</w:t>
      </w:r>
      <w:r>
        <w:rPr>
          <w:rFonts w:hint="eastAsia" w:ascii="宋体" w:hAnsi="宋体" w:cs="宋体"/>
          <w:bCs/>
          <w:sz w:val="24"/>
          <w:highlight w:val="none"/>
        </w:rPr>
        <w:t>知识产权的起诉。</w:t>
      </w:r>
    </w:p>
    <w:p w14:paraId="2DA694B9">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14:paraId="4DB98F6D">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14:paraId="0DF5DBD9">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7.我方如果中选，将按照贵方采购文件及其修改文件（如有）的要求及我方参评承诺，按质、按量、按期履行全部责任和义务，且不会以任何方式转包或分包本项目。</w:t>
      </w:r>
    </w:p>
    <w:p w14:paraId="78D4200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8.参评文件有效期：</w:t>
      </w:r>
      <w:r>
        <w:rPr>
          <w:rFonts w:hint="eastAsia" w:ascii="宋体" w:hAnsi="宋体" w:cs="宋体"/>
          <w:bCs/>
          <w:sz w:val="24"/>
          <w:highlight w:val="none"/>
          <w:lang w:val="en-US" w:eastAsia="zh-CN"/>
        </w:rPr>
        <w:t>从参评日起至双方签订合同有效期内。</w:t>
      </w:r>
    </w:p>
    <w:p w14:paraId="38FDDF6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4FC8659C">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14:paraId="2509049E">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地址： </w:t>
      </w:r>
    </w:p>
    <w:p w14:paraId="7FAE603A">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联系方式：                 </w:t>
      </w:r>
    </w:p>
    <w:p w14:paraId="67E5EAB2">
      <w:pPr>
        <w:keepNext w:val="0"/>
        <w:keepLines w:val="0"/>
        <w:pageBreakBefore w:val="0"/>
        <w:kinsoku/>
        <w:overflowPunct/>
        <w:topLinePunct w:val="0"/>
        <w:bidi w:val="0"/>
        <w:adjustRightInd w:val="0"/>
        <w:snapToGrid w:val="0"/>
        <w:spacing w:line="440" w:lineRule="exact"/>
        <w:ind w:firstLine="480" w:firstLineChars="200"/>
        <w:outlineLvl w:val="9"/>
        <w:rPr>
          <w:b/>
          <w:spacing w:val="100"/>
          <w:w w:val="110"/>
          <w:sz w:val="32"/>
          <w:szCs w:val="32"/>
        </w:rPr>
      </w:pPr>
      <w:r>
        <w:rPr>
          <w:rFonts w:hint="eastAsia" w:ascii="宋体" w:hAnsi="宋体" w:cs="宋体"/>
          <w:bCs/>
          <w:sz w:val="24"/>
          <w:highlight w:val="none"/>
        </w:rPr>
        <w:t>日期：</w:t>
      </w:r>
    </w:p>
    <w:p w14:paraId="410700F1">
      <w:pPr>
        <w:rPr>
          <w:rFonts w:hint="eastAsia" w:ascii="宋体" w:hAnsi="宋体"/>
          <w:b/>
          <w:bCs/>
          <w:sz w:val="28"/>
          <w:szCs w:val="28"/>
        </w:rPr>
      </w:pPr>
      <w:r>
        <w:rPr>
          <w:rFonts w:hint="eastAsia" w:ascii="宋体" w:hAnsi="宋体"/>
          <w:b/>
          <w:bCs/>
          <w:sz w:val="28"/>
          <w:szCs w:val="28"/>
        </w:rPr>
        <w:br w:type="page"/>
      </w:r>
    </w:p>
    <w:p w14:paraId="75CD1CB7">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格式2 法定代表人证明书</w:t>
      </w:r>
    </w:p>
    <w:p w14:paraId="2ECA1A86">
      <w:pPr>
        <w:keepNext w:val="0"/>
        <w:keepLines w:val="0"/>
        <w:pageBreakBefore w:val="0"/>
        <w:tabs>
          <w:tab w:val="left" w:pos="900"/>
        </w:tabs>
        <w:kinsoku/>
        <w:overflowPunct/>
        <w:topLinePunct w:val="0"/>
        <w:bidi w:val="0"/>
        <w:spacing w:line="440" w:lineRule="exact"/>
        <w:jc w:val="center"/>
        <w:outlineLvl w:val="9"/>
        <w:rPr>
          <w:rFonts w:hint="eastAsia" w:ascii="宋体" w:hAnsi="宋体" w:cs="仿宋_GB2312"/>
          <w:b/>
          <w:sz w:val="44"/>
          <w:szCs w:val="44"/>
          <w:highlight w:val="none"/>
        </w:rPr>
      </w:pPr>
    </w:p>
    <w:p w14:paraId="23371545">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241A3DF9">
      <w:pPr>
        <w:keepNext w:val="0"/>
        <w:keepLines w:val="0"/>
        <w:pageBreakBefore w:val="0"/>
        <w:tabs>
          <w:tab w:val="left" w:pos="900"/>
        </w:tabs>
        <w:kinsoku/>
        <w:overflowPunct/>
        <w:topLinePunct w:val="0"/>
        <w:bidi w:val="0"/>
        <w:spacing w:line="440" w:lineRule="exact"/>
        <w:outlineLvl w:val="9"/>
        <w:rPr>
          <w:rFonts w:ascii="仿宋_GB2312" w:eastAsia="仿宋_GB2312"/>
          <w:bCs/>
          <w:sz w:val="24"/>
          <w:highlight w:val="none"/>
        </w:rPr>
      </w:pPr>
    </w:p>
    <w:p w14:paraId="6F0078F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14:paraId="3BDF00E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14:paraId="0980F802">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p>
    <w:p w14:paraId="2CCE1DDC">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707FAF10">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14:paraId="0A68459E">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签发日期：   年   月    日</w:t>
      </w:r>
    </w:p>
    <w:p w14:paraId="51414410">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767BD516">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Cs/>
          <w:sz w:val="24"/>
          <w:highlight w:val="none"/>
        </w:rPr>
      </w:pPr>
    </w:p>
    <w:p w14:paraId="59936548">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5F4F9A">
                            <w:pPr>
                              <w:jc w:val="center"/>
                              <w:rPr>
                                <w:rFonts w:hAnsi="宋体"/>
                                <w:szCs w:val="21"/>
                              </w:rPr>
                            </w:pPr>
                          </w:p>
                          <w:p w14:paraId="233669D9">
                            <w:pPr>
                              <w:jc w:val="center"/>
                              <w:rPr>
                                <w:rFonts w:hAnsi="宋体"/>
                                <w:szCs w:val="21"/>
                              </w:rPr>
                            </w:pPr>
                          </w:p>
                          <w:p w14:paraId="101A02D5">
                            <w:pPr>
                              <w:jc w:val="center"/>
                              <w:rPr>
                                <w:rFonts w:hAnsi="宋体"/>
                                <w:szCs w:val="21"/>
                              </w:rPr>
                            </w:pPr>
                          </w:p>
                          <w:p w14:paraId="5EC084E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285F4F9A">
                      <w:pPr>
                        <w:jc w:val="center"/>
                        <w:rPr>
                          <w:rFonts w:hAnsi="宋体"/>
                          <w:szCs w:val="21"/>
                        </w:rPr>
                      </w:pPr>
                    </w:p>
                    <w:p w14:paraId="233669D9">
                      <w:pPr>
                        <w:jc w:val="center"/>
                        <w:rPr>
                          <w:rFonts w:hAnsi="宋体"/>
                          <w:szCs w:val="21"/>
                        </w:rPr>
                      </w:pPr>
                    </w:p>
                    <w:p w14:paraId="101A02D5">
                      <w:pPr>
                        <w:jc w:val="center"/>
                        <w:rPr>
                          <w:rFonts w:hAnsi="宋体"/>
                          <w:szCs w:val="21"/>
                        </w:rPr>
                      </w:pPr>
                    </w:p>
                    <w:p w14:paraId="5EC084E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12A181B5">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2B5229A0">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29CC9607">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7661EA4D">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122568EF">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173ADE0D">
      <w:pPr>
        <w:keepNext w:val="0"/>
        <w:keepLines w:val="0"/>
        <w:pageBreakBefore w:val="0"/>
        <w:widowControl/>
        <w:shd w:val="clear" w:color="auto"/>
        <w:kinsoku/>
        <w:overflowPunct/>
        <w:topLinePunct w:val="0"/>
        <w:bidi w:val="0"/>
        <w:spacing w:line="440" w:lineRule="exact"/>
        <w:ind w:firstLine="480" w:firstLineChars="200"/>
        <w:outlineLvl w:val="9"/>
        <w:rPr>
          <w:rFonts w:ascii="仿宋_GB2312" w:eastAsia="仿宋_GB2312"/>
          <w:bCs/>
          <w:sz w:val="24"/>
          <w:highlight w:val="none"/>
        </w:rPr>
      </w:pPr>
    </w:p>
    <w:p w14:paraId="7A9C63BC">
      <w:pPr>
        <w:keepNext w:val="0"/>
        <w:keepLines w:val="0"/>
        <w:pageBreakBefore w:val="0"/>
        <w:kinsoku/>
        <w:overflowPunct/>
        <w:topLinePunct w:val="0"/>
        <w:bidi w:val="0"/>
        <w:spacing w:line="440" w:lineRule="exact"/>
        <w:outlineLvl w:val="9"/>
        <w:rPr>
          <w:rFonts w:ascii="仿宋_GB2312" w:eastAsia="仿宋_GB2312"/>
          <w:bCs/>
          <w:sz w:val="24"/>
          <w:highlight w:val="none"/>
        </w:rPr>
      </w:pPr>
    </w:p>
    <w:p w14:paraId="712ECBD4">
      <w:pPr>
        <w:keepNext w:val="0"/>
        <w:keepLines w:val="0"/>
        <w:pageBreakBefore w:val="0"/>
        <w:kinsoku/>
        <w:overflowPunct/>
        <w:topLinePunct w:val="0"/>
        <w:bidi w:val="0"/>
        <w:spacing w:line="440" w:lineRule="exact"/>
        <w:outlineLvl w:val="9"/>
        <w:rPr>
          <w:rFonts w:ascii="宋体" w:hAnsi="宋体"/>
          <w:bCs/>
          <w:sz w:val="24"/>
          <w:highlight w:val="none"/>
        </w:rPr>
      </w:pPr>
      <w:r>
        <w:rPr>
          <w:rFonts w:hint="eastAsia" w:ascii="宋体" w:hAnsi="宋体"/>
          <w:bCs/>
          <w:sz w:val="24"/>
          <w:highlight w:val="none"/>
        </w:rPr>
        <w:t xml:space="preserve">                                           </w:t>
      </w:r>
    </w:p>
    <w:p w14:paraId="4B17C069">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14:paraId="1115D82E">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57D33F24">
      <w:pPr>
        <w:pStyle w:val="16"/>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51165739">
      <w:pPr>
        <w:keepNext w:val="0"/>
        <w:keepLines w:val="0"/>
        <w:pageBreakBefore w:val="0"/>
        <w:kinsoku/>
        <w:overflowPunct/>
        <w:topLinePunct w:val="0"/>
        <w:bidi w:val="0"/>
        <w:spacing w:line="440" w:lineRule="exact"/>
        <w:outlineLvl w:val="9"/>
        <w:rPr>
          <w:rFonts w:ascii="宋体" w:hAnsi="宋体"/>
          <w:b/>
          <w:bCs/>
          <w:sz w:val="24"/>
          <w:highlight w:val="none"/>
        </w:rPr>
      </w:pPr>
    </w:p>
    <w:p w14:paraId="67FFC909">
      <w:pPr>
        <w:pStyle w:val="2"/>
        <w:rPr>
          <w:rFonts w:ascii="宋体" w:hAnsi="宋体"/>
          <w:b/>
          <w:bCs/>
          <w:sz w:val="24"/>
          <w:highlight w:val="none"/>
        </w:rPr>
      </w:pPr>
    </w:p>
    <w:p w14:paraId="7D4AEADA">
      <w:pPr>
        <w:pStyle w:val="2"/>
        <w:rPr>
          <w:rFonts w:ascii="宋体" w:hAnsi="宋体"/>
          <w:b/>
          <w:bCs/>
          <w:sz w:val="24"/>
          <w:highlight w:val="none"/>
        </w:rPr>
      </w:pPr>
    </w:p>
    <w:p w14:paraId="0CF71580">
      <w:pPr>
        <w:pStyle w:val="2"/>
        <w:rPr>
          <w:rFonts w:ascii="宋体" w:hAnsi="宋体"/>
          <w:b/>
          <w:bCs/>
          <w:sz w:val="24"/>
          <w:highlight w:val="none"/>
        </w:rPr>
      </w:pPr>
    </w:p>
    <w:p w14:paraId="4168A7F1">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 xml:space="preserve">格式3 </w:t>
      </w:r>
      <w:r>
        <w:rPr>
          <w:rFonts w:hint="eastAsia" w:asciiTheme="minorEastAsia" w:hAnsiTheme="minorEastAsia" w:eastAsiaTheme="minorEastAsia" w:cstheme="minorEastAsia"/>
          <w:b/>
          <w:bCs/>
          <w:sz w:val="28"/>
          <w:szCs w:val="28"/>
          <w:highlight w:val="none"/>
        </w:rPr>
        <w:t>法定代表人授权委托书</w:t>
      </w:r>
    </w:p>
    <w:p w14:paraId="7025F7EA">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74D02A42">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1B2AAAEE">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5E3A068">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致：</w:t>
      </w:r>
      <w:r>
        <w:rPr>
          <w:rFonts w:hint="eastAsia" w:ascii="宋体" w:hAnsi="宋体" w:cs="宋体"/>
          <w:bCs/>
          <w:sz w:val="24"/>
          <w:highlight w:val="none"/>
          <w:lang w:val="en-US" w:eastAsia="zh-CN"/>
        </w:rPr>
        <w:t>中山市公共交通运输集团有限公司：</w:t>
      </w:r>
    </w:p>
    <w:p w14:paraId="2DE0DBF3">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同志为我方全权代表，</w:t>
      </w:r>
      <w:r>
        <w:rPr>
          <w:rFonts w:hint="eastAsia" w:ascii="宋体" w:hAnsi="宋体" w:cs="宋体"/>
          <w:bCs/>
          <w:sz w:val="24"/>
          <w:highlight w:val="none"/>
          <w:lang w:val="en-US" w:eastAsia="zh-CN"/>
        </w:rPr>
        <w:t>全权</w:t>
      </w:r>
      <w:r>
        <w:rPr>
          <w:rFonts w:hint="eastAsia" w:ascii="宋体" w:hAnsi="宋体" w:cs="宋体"/>
          <w:bCs/>
          <w:sz w:val="24"/>
          <w:highlight w:val="none"/>
        </w:rPr>
        <w:t>参与贵方</w:t>
      </w:r>
      <w:r>
        <w:rPr>
          <w:rFonts w:hint="eastAsia" w:ascii="宋体" w:hAnsi="宋体" w:cs="宋体"/>
          <w:bCs/>
          <w:sz w:val="24"/>
          <w:highlight w:val="none"/>
          <w:lang w:eastAsia="zh-CN"/>
        </w:rPr>
        <w:t>“</w:t>
      </w:r>
      <w:r>
        <w:rPr>
          <w:rFonts w:hint="eastAsia" w:ascii="宋体" w:hAnsi="宋体" w:cs="宋体"/>
          <w:bCs/>
          <w:color w:val="000000" w:themeColor="text1"/>
          <w:sz w:val="24"/>
          <w:highlight w:val="none"/>
          <w:lang w:eastAsia="zh-CN"/>
          <w14:textFill>
            <w14:solidFill>
              <w14:schemeClr w14:val="tx1"/>
            </w14:solidFill>
          </w14:textFill>
        </w:rPr>
        <w:t>中山市公共交通运输集团有限公司</w:t>
      </w:r>
      <w:r>
        <w:rPr>
          <w:rFonts w:hint="eastAsia" w:ascii="宋体" w:hAnsi="宋体" w:cs="宋体"/>
          <w:bCs/>
          <w:color w:val="000000" w:themeColor="text1"/>
          <w:sz w:val="24"/>
          <w:highlight w:val="none"/>
          <w:lang w:val="en-US" w:eastAsia="zh-CN"/>
          <w14:textFill>
            <w14:solidFill>
              <w14:schemeClr w14:val="tx1"/>
            </w14:solidFill>
          </w14:textFill>
        </w:rPr>
        <w:t>市场化板块子公司人才激励约束机制优化咨询项目（第二次）</w:t>
      </w:r>
      <w:r>
        <w:rPr>
          <w:rFonts w:hint="eastAsia" w:ascii="宋体" w:hAnsi="宋体" w:cs="宋体"/>
          <w:bCs/>
          <w:sz w:val="24"/>
          <w:highlight w:val="none"/>
          <w:lang w:eastAsia="zh-CN"/>
        </w:rPr>
        <w:t>”</w:t>
      </w:r>
      <w:r>
        <w:rPr>
          <w:rFonts w:hint="eastAsia" w:ascii="宋体" w:hAnsi="宋体" w:cs="宋体"/>
          <w:bCs/>
          <w:sz w:val="24"/>
          <w:highlight w:val="none"/>
        </w:rPr>
        <w:t>的</w:t>
      </w:r>
      <w:r>
        <w:rPr>
          <w:rFonts w:hint="eastAsia" w:ascii="宋体" w:hAnsi="宋体" w:cs="宋体"/>
          <w:bCs/>
          <w:sz w:val="24"/>
          <w:highlight w:val="none"/>
          <w:lang w:val="en-US" w:eastAsia="zh-CN"/>
        </w:rPr>
        <w:t>参评、</w:t>
      </w:r>
      <w:r>
        <w:rPr>
          <w:rFonts w:hint="eastAsia" w:ascii="宋体" w:hAnsi="宋体" w:cs="宋体"/>
          <w:bCs/>
          <w:sz w:val="24"/>
          <w:highlight w:val="none"/>
        </w:rPr>
        <w:t>提供与签署确认文书资料</w:t>
      </w:r>
      <w:r>
        <w:rPr>
          <w:rFonts w:hint="eastAsia" w:ascii="宋体" w:hAnsi="宋体" w:cs="宋体"/>
          <w:bCs/>
          <w:sz w:val="24"/>
          <w:highlight w:val="none"/>
          <w:lang w:val="en-US" w:eastAsia="zh-CN"/>
        </w:rPr>
        <w:t>等一切事宜</w:t>
      </w:r>
      <w:r>
        <w:rPr>
          <w:rFonts w:hint="eastAsia" w:ascii="宋体" w:hAnsi="宋体" w:cs="宋体"/>
          <w:bCs/>
          <w:sz w:val="24"/>
          <w:highlight w:val="none"/>
        </w:rPr>
        <w:t>。</w:t>
      </w:r>
    </w:p>
    <w:p w14:paraId="7AB2776E">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p>
    <w:p w14:paraId="4DEBF2C5">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w:t>
      </w:r>
      <w:r>
        <w:rPr>
          <w:rFonts w:hint="eastAsia" w:ascii="宋体" w:hAnsi="宋体" w:cs="宋体"/>
          <w:bCs/>
          <w:sz w:val="24"/>
          <w:highlight w:val="none"/>
          <w:lang w:val="en-US" w:eastAsia="zh-CN"/>
        </w:rPr>
        <w:t>盖</w:t>
      </w:r>
      <w:r>
        <w:rPr>
          <w:rFonts w:hint="eastAsia" w:ascii="宋体" w:hAnsi="宋体" w:cs="宋体"/>
          <w:bCs/>
          <w:sz w:val="24"/>
          <w:highlight w:val="none"/>
        </w:rPr>
        <w:t>章）：</w:t>
      </w:r>
    </w:p>
    <w:p w14:paraId="511B2901">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签发日期：</w:t>
      </w:r>
    </w:p>
    <w:p w14:paraId="67D86E42">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附：</w:t>
      </w:r>
      <w:r>
        <w:rPr>
          <w:rFonts w:hint="eastAsia" w:ascii="宋体" w:hAnsi="宋体" w:cs="宋体"/>
          <w:bCs/>
          <w:sz w:val="24"/>
          <w:highlight w:val="none"/>
          <w:lang w:val="en-US" w:eastAsia="zh-CN"/>
        </w:rPr>
        <w:t>被</w:t>
      </w:r>
      <w:r>
        <w:rPr>
          <w:rFonts w:hint="eastAsia" w:ascii="宋体" w:hAnsi="宋体" w:cs="宋体"/>
          <w:bCs/>
          <w:sz w:val="24"/>
          <w:highlight w:val="none"/>
        </w:rPr>
        <w:t>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14:paraId="7F5789E6">
      <w:pPr>
        <w:keepNext w:val="0"/>
        <w:keepLines w:val="0"/>
        <w:pageBreakBefore w:val="0"/>
        <w:kinsoku/>
        <w:overflowPunct/>
        <w:topLinePunct w:val="0"/>
        <w:bidi w:val="0"/>
        <w:adjustRightInd w:val="0"/>
        <w:snapToGrid w:val="0"/>
        <w:spacing w:line="440" w:lineRule="exact"/>
        <w:ind w:firstLine="960" w:firstLineChars="400"/>
        <w:outlineLvl w:val="9"/>
        <w:rPr>
          <w:rFonts w:hint="eastAsia" w:ascii="宋体" w:hAnsi="宋体" w:cs="宋体"/>
          <w:bCs/>
          <w:sz w:val="24"/>
          <w:highlight w:val="none"/>
        </w:rPr>
      </w:pPr>
      <w:r>
        <w:rPr>
          <w:rFonts w:hint="eastAsia" w:ascii="宋体" w:hAnsi="宋体" w:cs="宋体"/>
          <w:bCs/>
          <w:sz w:val="24"/>
          <w:highlight w:val="none"/>
        </w:rPr>
        <w:t>身份证号码：</w:t>
      </w:r>
    </w:p>
    <w:p w14:paraId="02BC2C70">
      <w:pPr>
        <w:keepNext w:val="0"/>
        <w:keepLines w:val="0"/>
        <w:pageBreakBefore w:val="0"/>
        <w:kinsoku/>
        <w:overflowPunct/>
        <w:topLinePunct w:val="0"/>
        <w:bidi w:val="0"/>
        <w:adjustRightInd w:val="0"/>
        <w:snapToGrid w:val="0"/>
        <w:spacing w:line="440" w:lineRule="exact"/>
        <w:ind w:firstLine="960" w:firstLineChars="400"/>
        <w:outlineLvl w:val="9"/>
        <w:rPr>
          <w:rFonts w:hint="eastAsia" w:ascii="宋体" w:hAnsi="宋体" w:cs="宋体"/>
          <w:bCs/>
          <w:sz w:val="24"/>
          <w:highlight w:val="none"/>
        </w:rPr>
      </w:pPr>
      <w:r>
        <w:rPr>
          <w:rFonts w:hint="eastAsia" w:ascii="宋体" w:hAnsi="宋体" w:cs="宋体"/>
          <w:bCs/>
          <w:sz w:val="24"/>
          <w:highlight w:val="none"/>
        </w:rPr>
        <w:t>联系电话：</w:t>
      </w:r>
    </w:p>
    <w:p w14:paraId="7980291E">
      <w:pPr>
        <w:keepNext w:val="0"/>
        <w:keepLines w:val="0"/>
        <w:pageBreakBefore w:val="0"/>
        <w:kinsoku/>
        <w:overflowPunct/>
        <w:topLinePunct w:val="0"/>
        <w:bidi w:val="0"/>
        <w:adjustRightInd w:val="0"/>
        <w:snapToGrid w:val="0"/>
        <w:spacing w:line="440" w:lineRule="exact"/>
        <w:ind w:firstLine="960" w:firstLineChars="4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联系邮箱：</w:t>
      </w:r>
    </w:p>
    <w:p w14:paraId="59493A6A">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授权有效期限：与本公司</w:t>
      </w:r>
      <w:r>
        <w:rPr>
          <w:rFonts w:hint="eastAsia" w:ascii="宋体" w:hAnsi="宋体" w:cs="宋体"/>
          <w:bCs/>
          <w:sz w:val="24"/>
          <w:highlight w:val="none"/>
          <w:lang w:val="en-US" w:eastAsia="zh-CN"/>
        </w:rPr>
        <w:t>参评</w:t>
      </w:r>
      <w:r>
        <w:rPr>
          <w:rFonts w:hint="eastAsia" w:ascii="宋体" w:hAnsi="宋体" w:cs="宋体"/>
          <w:bCs/>
          <w:sz w:val="24"/>
          <w:highlight w:val="none"/>
        </w:rPr>
        <w:t>文件中标注的有效期相同，自本单位盖公章之日起生效。</w:t>
      </w:r>
    </w:p>
    <w:p w14:paraId="50860DE2">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lang w:val="en-US" w:eastAsia="zh-CN"/>
        </w:rPr>
        <w:t>参评</w:t>
      </w:r>
      <w:r>
        <w:rPr>
          <w:rFonts w:hint="eastAsia" w:ascii="宋体" w:hAnsi="宋体" w:cs="宋体"/>
          <w:bCs/>
          <w:sz w:val="24"/>
          <w:highlight w:val="none"/>
        </w:rPr>
        <w:t>签</w:t>
      </w:r>
      <w:r>
        <w:rPr>
          <w:rFonts w:hint="eastAsia" w:ascii="宋体" w:hAnsi="宋体" w:cs="宋体"/>
          <w:bCs/>
          <w:sz w:val="24"/>
          <w:highlight w:val="none"/>
          <w:lang w:val="en-US" w:eastAsia="zh-CN"/>
        </w:rPr>
        <w:t>名</w:t>
      </w:r>
      <w:r>
        <w:rPr>
          <w:rFonts w:hint="eastAsia" w:ascii="宋体" w:hAnsi="宋体" w:cs="宋体"/>
          <w:bCs/>
          <w:sz w:val="24"/>
          <w:highlight w:val="none"/>
        </w:rPr>
        <w:t>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w:t>
      </w:r>
      <w:r>
        <w:rPr>
          <w:rFonts w:hint="eastAsia" w:ascii="宋体" w:hAnsi="宋体" w:cs="宋体"/>
          <w:bCs/>
          <w:sz w:val="24"/>
          <w:highlight w:val="none"/>
          <w:lang w:eastAsia="zh-CN"/>
        </w:rPr>
        <w:t>无需填写</w:t>
      </w:r>
      <w:r>
        <w:rPr>
          <w:rFonts w:hint="eastAsia" w:ascii="宋体" w:hAnsi="宋体" w:cs="宋体"/>
          <w:bCs/>
          <w:sz w:val="24"/>
          <w:highlight w:val="none"/>
        </w:rPr>
        <w:t>本授权委托书。</w:t>
      </w:r>
    </w:p>
    <w:p w14:paraId="1B34D9C3">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E88A20">
                            <w:pPr>
                              <w:jc w:val="center"/>
                              <w:rPr>
                                <w:rFonts w:hAnsi="宋体"/>
                                <w:szCs w:val="21"/>
                              </w:rPr>
                            </w:pPr>
                          </w:p>
                          <w:p w14:paraId="50B50807">
                            <w:pPr>
                              <w:jc w:val="center"/>
                              <w:rPr>
                                <w:rFonts w:hAnsi="宋体"/>
                                <w:szCs w:val="21"/>
                              </w:rPr>
                            </w:pPr>
                          </w:p>
                          <w:p w14:paraId="68E9AF17">
                            <w:pPr>
                              <w:jc w:val="center"/>
                              <w:rPr>
                                <w:rFonts w:hint="eastAsia" w:ascii="宋体" w:hAnsi="宋体"/>
                                <w:szCs w:val="21"/>
                                <w:lang w:val="en-US" w:eastAsia="zh-CN"/>
                              </w:rPr>
                            </w:pPr>
                          </w:p>
                          <w:p w14:paraId="0B6A7324">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61312;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A&#10;CihW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40E88A20">
                      <w:pPr>
                        <w:jc w:val="center"/>
                        <w:rPr>
                          <w:rFonts w:hAnsi="宋体"/>
                          <w:szCs w:val="21"/>
                        </w:rPr>
                      </w:pPr>
                    </w:p>
                    <w:p w14:paraId="50B50807">
                      <w:pPr>
                        <w:jc w:val="center"/>
                        <w:rPr>
                          <w:rFonts w:hAnsi="宋体"/>
                          <w:szCs w:val="21"/>
                        </w:rPr>
                      </w:pPr>
                    </w:p>
                    <w:p w14:paraId="68E9AF17">
                      <w:pPr>
                        <w:jc w:val="center"/>
                        <w:rPr>
                          <w:rFonts w:hint="eastAsia" w:ascii="宋体" w:hAnsi="宋体"/>
                          <w:szCs w:val="21"/>
                          <w:lang w:val="en-US" w:eastAsia="zh-CN"/>
                        </w:rPr>
                      </w:pPr>
                    </w:p>
                    <w:p w14:paraId="0B6A7324">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1F314F80">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9DEDBBB">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9641D8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E8079A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DAA39F6">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5CA87FA4">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7F2FC00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60B65C99">
      <w:pPr>
        <w:pStyle w:val="8"/>
        <w:rPr>
          <w:rFonts w:hint="eastAsia" w:ascii="宋体" w:hAnsi="宋体"/>
          <w:b/>
          <w:bCs/>
          <w:sz w:val="28"/>
          <w:szCs w:val="28"/>
          <w:highlight w:val="none"/>
        </w:rPr>
      </w:pPr>
    </w:p>
    <w:p w14:paraId="016189CC">
      <w:pPr>
        <w:pStyle w:val="8"/>
        <w:rPr>
          <w:rFonts w:hint="eastAsia" w:ascii="宋体" w:hAnsi="宋体"/>
          <w:b/>
          <w:bCs/>
          <w:sz w:val="28"/>
          <w:szCs w:val="28"/>
          <w:highlight w:val="none"/>
        </w:rPr>
      </w:pPr>
    </w:p>
    <w:p w14:paraId="401C61C3">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rPr>
        <w:t>格式</w:t>
      </w:r>
      <w:r>
        <w:rPr>
          <w:rFonts w:hint="eastAsia" w:asciiTheme="minorEastAsia" w:hAnsiTheme="minorEastAsia" w:eastAsiaTheme="minorEastAsia" w:cstheme="minorEastAsia"/>
          <w:b/>
          <w:bCs/>
          <w:sz w:val="28"/>
          <w:szCs w:val="28"/>
          <w:highlight w:val="none"/>
          <w:lang w:val="en-US" w:eastAsia="zh-CN"/>
        </w:rPr>
        <w:t>4</w:t>
      </w:r>
      <w:r>
        <w:rPr>
          <w:rFonts w:hint="eastAsia" w:asciiTheme="minorEastAsia" w:hAnsiTheme="minorEastAsia" w:eastAsiaTheme="minorEastAsia" w:cstheme="minorEastAsia"/>
          <w:b/>
          <w:bCs/>
          <w:sz w:val="28"/>
          <w:szCs w:val="28"/>
          <w:highlight w:val="none"/>
        </w:rPr>
        <w:t xml:space="preserve"> 营业执照、资质证明等材料</w:t>
      </w:r>
    </w:p>
    <w:p w14:paraId="366801C3">
      <w:pPr>
        <w:keepNext w:val="0"/>
        <w:keepLines w:val="0"/>
        <w:pageBreakBefore w:val="0"/>
        <w:kinsoku/>
        <w:overflowPunct/>
        <w:topLinePunct w:val="0"/>
        <w:bidi w:val="0"/>
        <w:adjustRightInd w:val="0"/>
        <w:snapToGrid w:val="0"/>
        <w:spacing w:line="440" w:lineRule="exact"/>
        <w:ind w:firstLine="562" w:firstLineChars="200"/>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具有独立承担民事责任能力的在中华人民共和国境内注册的企业法人或其他社会组织，具有</w:t>
      </w:r>
      <w:r>
        <w:rPr>
          <w:rFonts w:hint="eastAsia" w:ascii="宋体" w:hAnsi="宋体" w:cs="仿宋_GB2312"/>
          <w:b/>
          <w:kern w:val="2"/>
          <w:sz w:val="28"/>
          <w:szCs w:val="28"/>
          <w:highlight w:val="none"/>
          <w:lang w:val="zh-CN" w:eastAsia="zh-CN" w:bidi="ar"/>
        </w:rPr>
        <w:t>经营范围经营范围</w:t>
      </w:r>
      <w:r>
        <w:rPr>
          <w:rFonts w:hint="eastAsia" w:ascii="宋体" w:hAnsi="宋体" w:cs="仿宋_GB2312"/>
          <w:b/>
          <w:kern w:val="2"/>
          <w:sz w:val="28"/>
          <w:szCs w:val="28"/>
          <w:highlight w:val="none"/>
          <w:lang w:val="en-US" w:eastAsia="zh-CN" w:bidi="ar"/>
        </w:rPr>
        <w:t>至少包</w:t>
      </w:r>
      <w:r>
        <w:rPr>
          <w:rFonts w:hint="eastAsia" w:ascii="宋体" w:hAnsi="宋体" w:cs="仿宋_GB2312"/>
          <w:b/>
          <w:color w:val="000000" w:themeColor="text1"/>
          <w:kern w:val="2"/>
          <w:sz w:val="28"/>
          <w:szCs w:val="28"/>
          <w:highlight w:val="none"/>
          <w:lang w:val="en-US" w:eastAsia="zh-CN" w:bidi="ar"/>
          <w14:textFill>
            <w14:solidFill>
              <w14:schemeClr w14:val="tx1"/>
            </w14:solidFill>
          </w14:textFill>
        </w:rPr>
        <w:t>括企业管理、企业管理咨询、社会经济咨询服务</w:t>
      </w:r>
      <w:r>
        <w:rPr>
          <w:rFonts w:hint="eastAsia" w:ascii="宋体" w:hAnsi="宋体" w:cs="仿宋_GB2312"/>
          <w:b/>
          <w:kern w:val="2"/>
          <w:sz w:val="28"/>
          <w:szCs w:val="28"/>
          <w:highlight w:val="none"/>
          <w:lang w:val="en-US" w:eastAsia="zh-CN" w:bidi="ar"/>
        </w:rPr>
        <w:t>等其中一项，提供营业执照、资质证明等材料并盖章。（格式自拟）</w:t>
      </w:r>
    </w:p>
    <w:p w14:paraId="68F340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b/>
          <w:sz w:val="40"/>
          <w:szCs w:val="40"/>
        </w:rPr>
      </w:pPr>
    </w:p>
    <w:p w14:paraId="3525E375">
      <w:pPr>
        <w:keepNext w:val="0"/>
        <w:keepLines w:val="0"/>
        <w:pageBreakBefore w:val="0"/>
        <w:kinsoku/>
        <w:overflowPunct/>
        <w:topLinePunct w:val="0"/>
        <w:bidi w:val="0"/>
        <w:adjustRightInd w:val="0"/>
        <w:snapToGrid w:val="0"/>
        <w:spacing w:line="440" w:lineRule="exact"/>
        <w:outlineLvl w:val="9"/>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格式5 人员资质</w:t>
      </w:r>
    </w:p>
    <w:p w14:paraId="633965EC">
      <w:pPr>
        <w:keepNext w:val="0"/>
        <w:keepLines w:val="0"/>
        <w:pageBreakBefore w:val="0"/>
        <w:kinsoku/>
        <w:overflowPunct/>
        <w:topLinePunct w:val="0"/>
        <w:bidi w:val="0"/>
        <w:adjustRightInd w:val="0"/>
        <w:snapToGrid w:val="0"/>
        <w:spacing w:line="440" w:lineRule="exact"/>
        <w:ind w:firstLine="562" w:firstLineChars="200"/>
        <w:jc w:val="center"/>
        <w:outlineLvl w:val="9"/>
        <w:rPr>
          <w:rFonts w:ascii="宋体" w:hAnsi="宋体"/>
          <w:b/>
          <w:bCs/>
          <w:sz w:val="28"/>
          <w:szCs w:val="28"/>
          <w:highlight w:val="none"/>
        </w:rPr>
      </w:pPr>
      <w:r>
        <w:rPr>
          <w:rFonts w:hint="eastAsia" w:ascii="宋体" w:hAnsi="宋体" w:cs="仿宋_GB2312"/>
          <w:b/>
          <w:kern w:val="2"/>
          <w:sz w:val="28"/>
          <w:szCs w:val="28"/>
          <w:highlight w:val="none"/>
          <w:lang w:val="en-US" w:eastAsia="zh-CN" w:bidi="ar"/>
        </w:rPr>
        <w:t>提供项目投入的人员具有的研究生学历、CMC国际注册管理咨询师证书、国家一级人力资源管理师证书等相关资质，提供证明材料。</w:t>
      </w:r>
      <w:r>
        <w:rPr>
          <w:rFonts w:hint="eastAsia" w:ascii="宋体" w:hAnsi="宋体" w:cs="仿宋_GB2312"/>
          <w:b/>
          <w:sz w:val="28"/>
          <w:szCs w:val="28"/>
          <w:highlight w:val="none"/>
        </w:rPr>
        <w:t>（格式自拟）</w:t>
      </w:r>
    </w:p>
    <w:p w14:paraId="4A81D450">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宋体" w:hAnsi="宋体"/>
          <w:b/>
          <w:bCs/>
          <w:sz w:val="24"/>
          <w:highlight w:val="none"/>
          <w:lang w:val="en-US" w:eastAsia="zh-CN"/>
        </w:rPr>
      </w:pPr>
    </w:p>
    <w:p w14:paraId="0DDF7FC4">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格式6 服务方案</w:t>
      </w:r>
    </w:p>
    <w:p w14:paraId="7DC5A851">
      <w:pPr>
        <w:keepNext w:val="0"/>
        <w:keepLines w:val="0"/>
        <w:pageBreakBefore w:val="0"/>
        <w:kinsoku/>
        <w:overflowPunct/>
        <w:topLinePunct w:val="0"/>
        <w:bidi w:val="0"/>
        <w:adjustRightInd w:val="0"/>
        <w:snapToGrid w:val="0"/>
        <w:spacing w:line="440" w:lineRule="exact"/>
        <w:ind w:firstLine="562" w:firstLineChars="200"/>
        <w:jc w:val="both"/>
        <w:outlineLvl w:val="9"/>
        <w:rPr>
          <w:rFonts w:hint="default"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项目服务方案（对用户需求及技术商务评分响应资料）</w:t>
      </w:r>
    </w:p>
    <w:p w14:paraId="32353700">
      <w:pPr>
        <w:keepNext w:val="0"/>
        <w:keepLines w:val="0"/>
        <w:pageBreakBefore w:val="0"/>
        <w:kinsoku/>
        <w:overflowPunct/>
        <w:topLinePunct w:val="0"/>
        <w:bidi w:val="0"/>
        <w:adjustRightInd w:val="0"/>
        <w:snapToGrid w:val="0"/>
        <w:spacing w:line="440" w:lineRule="exact"/>
        <w:ind w:firstLine="562" w:firstLineChars="200"/>
        <w:jc w:val="center"/>
        <w:outlineLvl w:val="9"/>
        <w:rPr>
          <w:rFonts w:hint="eastAsia" w:ascii="宋体" w:hAnsi="宋体"/>
          <w:b/>
          <w:bCs/>
          <w:sz w:val="24"/>
          <w:highlight w:val="none"/>
          <w:lang w:val="en-US" w:eastAsia="zh-CN"/>
        </w:rPr>
      </w:pPr>
      <w:r>
        <w:rPr>
          <w:rFonts w:hint="eastAsia" w:ascii="宋体" w:hAnsi="宋体" w:cs="仿宋_GB2312"/>
          <w:b/>
          <w:kern w:val="2"/>
          <w:sz w:val="28"/>
          <w:szCs w:val="28"/>
          <w:highlight w:val="none"/>
          <w:lang w:val="en-US" w:eastAsia="zh-CN" w:bidi="ar"/>
        </w:rPr>
        <w:t>（格式自拟）</w:t>
      </w:r>
    </w:p>
    <w:p w14:paraId="2ABCC4F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sz w:val="24"/>
          <w:szCs w:val="24"/>
          <w:highlight w:val="none"/>
          <w:lang w:val="en-US" w:eastAsia="zh-CN"/>
        </w:rPr>
      </w:pPr>
    </w:p>
    <w:p w14:paraId="1587CD7A">
      <w:pPr>
        <w:keepNext w:val="0"/>
        <w:keepLines w:val="0"/>
        <w:pageBreakBefore w:val="0"/>
        <w:kinsoku/>
        <w:overflowPunct/>
        <w:topLinePunct w:val="0"/>
        <w:bidi w:val="0"/>
        <w:adjustRightInd w:val="0"/>
        <w:snapToGrid w:val="0"/>
        <w:spacing w:line="440" w:lineRule="exact"/>
        <w:outlineLvl w:val="9"/>
        <w:rPr>
          <w:rFonts w:hint="default" w:ascii="宋体" w:hAnsi="宋体" w:cs="仿宋_GB2312"/>
          <w:b/>
          <w:kern w:val="2"/>
          <w:sz w:val="28"/>
          <w:szCs w:val="28"/>
          <w:highlight w:val="none"/>
          <w:lang w:val="en-US" w:eastAsia="zh-CN" w:bidi="ar"/>
        </w:rPr>
      </w:pPr>
      <w:r>
        <w:rPr>
          <w:rFonts w:hint="eastAsia" w:asciiTheme="minorEastAsia" w:hAnsiTheme="minorEastAsia" w:eastAsiaTheme="minorEastAsia" w:cstheme="minorEastAsia"/>
          <w:b/>
          <w:bCs/>
          <w:sz w:val="28"/>
          <w:szCs w:val="28"/>
          <w:highlight w:val="none"/>
          <w:lang w:val="en-US" w:eastAsia="zh-CN"/>
        </w:rPr>
        <w:t xml:space="preserve">格式7 </w:t>
      </w:r>
      <w:r>
        <w:rPr>
          <w:rFonts w:hint="eastAsia" w:asciiTheme="minorEastAsia" w:hAnsiTheme="minorEastAsia" w:cstheme="minorEastAsia"/>
          <w:b/>
          <w:bCs/>
          <w:sz w:val="28"/>
          <w:szCs w:val="28"/>
          <w:highlight w:val="none"/>
          <w:lang w:val="en-US" w:eastAsia="zh-CN"/>
        </w:rPr>
        <w:t>同类项目业绩</w:t>
      </w:r>
    </w:p>
    <w:p w14:paraId="4FF25F3B">
      <w:pPr>
        <w:keepNext w:val="0"/>
        <w:keepLines w:val="0"/>
        <w:pageBreakBefore w:val="0"/>
        <w:kinsoku/>
        <w:overflowPunct/>
        <w:topLinePunct w:val="0"/>
        <w:bidi w:val="0"/>
        <w:adjustRightInd w:val="0"/>
        <w:snapToGrid w:val="0"/>
        <w:spacing w:line="440" w:lineRule="exact"/>
        <w:ind w:firstLine="562" w:firstLineChars="200"/>
        <w:jc w:val="both"/>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供应商承接或完成的同类项目业绩的合同，提供证明材料。</w:t>
      </w:r>
    </w:p>
    <w:p w14:paraId="346FF7A3">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0E309791">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76D11A9B">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格式8 服务跟踪与支持</w:t>
      </w:r>
    </w:p>
    <w:p w14:paraId="57086DE1">
      <w:pPr>
        <w:keepNext w:val="0"/>
        <w:keepLines w:val="0"/>
        <w:pageBreakBefore w:val="0"/>
        <w:kinsoku/>
        <w:overflowPunct/>
        <w:topLinePunct w:val="0"/>
        <w:bidi w:val="0"/>
        <w:adjustRightInd w:val="0"/>
        <w:snapToGrid w:val="0"/>
        <w:spacing w:line="440" w:lineRule="exact"/>
        <w:ind w:firstLine="562" w:firstLineChars="200"/>
        <w:jc w:val="both"/>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提供服务跟踪与支持书面承诺，包括但不限于落地辅导、方案修订、答疑等。（格式自拟）</w:t>
      </w:r>
    </w:p>
    <w:p w14:paraId="0606C2EE">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3C9AFC96">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格式9 服务跟踪期延长</w:t>
      </w:r>
    </w:p>
    <w:p w14:paraId="6C8269D2">
      <w:pPr>
        <w:keepNext w:val="0"/>
        <w:keepLines w:val="0"/>
        <w:pageBreakBefore w:val="0"/>
        <w:kinsoku/>
        <w:overflowPunct/>
        <w:topLinePunct w:val="0"/>
        <w:bidi w:val="0"/>
        <w:adjustRightInd w:val="0"/>
        <w:snapToGrid w:val="0"/>
        <w:spacing w:line="440" w:lineRule="exact"/>
        <w:ind w:firstLine="562" w:firstLineChars="200"/>
        <w:jc w:val="both"/>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提供书面服务跟踪期延长承诺，最高延长两年，需加盖公章。</w:t>
      </w:r>
    </w:p>
    <w:p w14:paraId="61DBD9B9">
      <w:pPr>
        <w:keepNext w:val="0"/>
        <w:keepLines w:val="0"/>
        <w:pageBreakBefore w:val="0"/>
        <w:kinsoku/>
        <w:overflowPunct/>
        <w:topLinePunct w:val="0"/>
        <w:bidi w:val="0"/>
        <w:adjustRightInd w:val="0"/>
        <w:snapToGrid w:val="0"/>
        <w:spacing w:line="440" w:lineRule="exact"/>
        <w:ind w:firstLine="562" w:firstLineChars="200"/>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（格式自拟）</w:t>
      </w:r>
    </w:p>
    <w:p w14:paraId="7E5F4EFB">
      <w:pPr>
        <w:adjustRightInd w:val="0"/>
        <w:snapToGrid w:val="0"/>
        <w:spacing w:line="560" w:lineRule="exact"/>
        <w:jc w:val="center"/>
        <w:rPr>
          <w:rFonts w:hint="eastAsia" w:ascii="宋体" w:hAnsi="宋体"/>
          <w:b/>
          <w:bCs/>
          <w:sz w:val="24"/>
        </w:rPr>
      </w:pPr>
    </w:p>
    <w:p w14:paraId="12173E9C">
      <w:pPr>
        <w:adjustRightInd w:val="0"/>
        <w:snapToGrid w:val="0"/>
        <w:spacing w:line="560" w:lineRule="exact"/>
        <w:rPr>
          <w:rFonts w:hint="eastAsia" w:ascii="宋体" w:hAnsi="宋体"/>
          <w:b/>
          <w:bCs/>
          <w:sz w:val="24"/>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A8CF20">
      <w:pPr>
        <w:adjustRightInd w:val="0"/>
        <w:snapToGrid w:val="0"/>
        <w:spacing w:line="560" w:lineRule="exact"/>
        <w:rPr>
          <w:rFonts w:hint="eastAsia"/>
        </w:rPr>
      </w:pPr>
      <w:r>
        <w:rPr>
          <w:rFonts w:hint="eastAsia" w:asciiTheme="majorEastAsia" w:hAnsiTheme="majorEastAsia" w:eastAsiaTheme="majorEastAsia" w:cstheme="majorEastAsia"/>
          <w:b/>
          <w:bCs/>
          <w:sz w:val="28"/>
          <w:szCs w:val="28"/>
          <w:highlight w:val="none"/>
          <w:lang w:val="en-US" w:eastAsia="zh-CN"/>
        </w:rPr>
        <w:t>格式10 报价一览表</w:t>
      </w:r>
    </w:p>
    <w:p w14:paraId="6DF2D500">
      <w:pPr>
        <w:keepNext w:val="0"/>
        <w:keepLines w:val="0"/>
        <w:pageBreakBefore w:val="0"/>
        <w:tabs>
          <w:tab w:val="left" w:pos="900"/>
        </w:tabs>
        <w:kinsoku/>
        <w:overflowPunct/>
        <w:topLinePunct w:val="0"/>
        <w:bidi w:val="0"/>
        <w:spacing w:line="440" w:lineRule="exact"/>
        <w:jc w:val="center"/>
        <w:outlineLvl w:val="9"/>
        <w:rPr>
          <w:rFonts w:hint="eastAsia" w:ascii="宋体" w:hAnsi="宋体" w:eastAsia="宋体" w:cs="仿宋_GB2312"/>
          <w:b/>
          <w:sz w:val="44"/>
          <w:szCs w:val="44"/>
          <w:highlight w:val="none"/>
        </w:rPr>
      </w:pPr>
      <w:bookmarkStart w:id="16" w:name="_Toc23385"/>
      <w:bookmarkStart w:id="17" w:name="_Toc201"/>
      <w:r>
        <w:rPr>
          <w:rFonts w:hint="eastAsia" w:ascii="宋体" w:hAnsi="宋体" w:eastAsia="宋体" w:cs="仿宋_GB2312"/>
          <w:b/>
          <w:sz w:val="44"/>
          <w:szCs w:val="44"/>
          <w:highlight w:val="none"/>
        </w:rPr>
        <w:t>报价表</w:t>
      </w:r>
      <w:bookmarkEnd w:id="16"/>
      <w:bookmarkEnd w:id="17"/>
    </w:p>
    <w:p w14:paraId="40563DA8">
      <w:pPr>
        <w:spacing w:line="360" w:lineRule="exact"/>
        <w:rPr>
          <w:rFonts w:ascii="宋体" w:hAnsi="宋体"/>
          <w:b/>
          <w:bCs/>
          <w:sz w:val="24"/>
        </w:rPr>
      </w:pPr>
    </w:p>
    <w:p w14:paraId="0C97E352">
      <w:pPr>
        <w:keepNext w:val="0"/>
        <w:keepLines w:val="0"/>
        <w:widowControl w:val="0"/>
        <w:suppressLineNumbers w:val="0"/>
        <w:spacing w:before="0" w:beforeAutospacing="0" w:after="0" w:afterAutospacing="0"/>
        <w:ind w:left="1104" w:right="0" w:hanging="1104" w:hangingChars="500"/>
        <w:jc w:val="both"/>
        <w:rPr>
          <w:rFonts w:hint="eastAsia" w:ascii="宋体" w:hAnsi="宋体" w:eastAsia="宋体" w:cs="宋体"/>
          <w:b/>
          <w:sz w:val="24"/>
          <w:szCs w:val="24"/>
        </w:rPr>
      </w:pPr>
      <w:r>
        <w:rPr>
          <w:rFonts w:hint="eastAsia" w:ascii="宋体" w:hAnsi="宋体" w:eastAsia="宋体" w:cs="宋体"/>
          <w:b/>
          <w:bCs/>
          <w:sz w:val="22"/>
          <w:szCs w:val="22"/>
        </w:rPr>
        <w:t>项目名称：</w:t>
      </w:r>
      <w:r>
        <w:rPr>
          <w:rFonts w:hint="eastAsia" w:ascii="宋体" w:hAnsi="宋体" w:eastAsia="宋体" w:cs="宋体"/>
          <w:bCs/>
          <w:color w:val="000000" w:themeColor="text1"/>
          <w:sz w:val="24"/>
          <w:szCs w:val="24"/>
          <w:lang w:val="en-US" w:eastAsia="zh-CN"/>
          <w14:textFill>
            <w14:solidFill>
              <w14:schemeClr w14:val="tx1"/>
            </w14:solidFill>
          </w14:textFill>
        </w:rPr>
        <w:t>中山市公共交通运输集团有限公司市场化板块子公司人才激励约束机制优化咨询项目</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第二次</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sz w:val="24"/>
          <w:szCs w:val="24"/>
        </w:rPr>
        <w:t xml:space="preserve">   </w:t>
      </w:r>
    </w:p>
    <w:tbl>
      <w:tblPr>
        <w:tblStyle w:val="18"/>
        <w:tblW w:w="12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6082"/>
        <w:gridCol w:w="2748"/>
        <w:gridCol w:w="2456"/>
      </w:tblGrid>
      <w:tr w14:paraId="3F0E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B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B4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咨询模块</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3EB8">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分项报价（元，含税）</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59C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总报价（元，含税）</w:t>
            </w:r>
          </w:p>
        </w:tc>
      </w:tr>
      <w:tr w14:paraId="4622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83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7B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市场化板块子公司人才激励现状调研诊断</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9C0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000000"/>
                <w:sz w:val="24"/>
                <w:szCs w:val="24"/>
                <w:u w:val="none"/>
              </w:rPr>
            </w:pPr>
          </w:p>
        </w:tc>
        <w:tc>
          <w:tcPr>
            <w:tcW w:w="2456" w:type="dxa"/>
            <w:vMerge w:val="restart"/>
            <w:tcBorders>
              <w:top w:val="single" w:color="000000" w:sz="4" w:space="0"/>
              <w:left w:val="single" w:color="000000" w:sz="4" w:space="0"/>
              <w:right w:val="single" w:color="000000" w:sz="4" w:space="0"/>
            </w:tcBorders>
            <w:shd w:val="clear" w:color="auto" w:fill="auto"/>
            <w:vAlign w:val="center"/>
          </w:tcPr>
          <w:p w14:paraId="2D39651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000000"/>
                <w:sz w:val="24"/>
                <w:szCs w:val="24"/>
                <w:u w:val="none"/>
              </w:rPr>
            </w:pPr>
          </w:p>
        </w:tc>
      </w:tr>
      <w:tr w14:paraId="6717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B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FF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市场化板块子公司组织管控机制优化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13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sz w:val="24"/>
                <w:szCs w:val="24"/>
                <w:u w:val="none"/>
                <w:lang w:val="en-US"/>
              </w:rPr>
            </w:pPr>
          </w:p>
        </w:tc>
        <w:tc>
          <w:tcPr>
            <w:tcW w:w="2456" w:type="dxa"/>
            <w:vMerge w:val="continue"/>
            <w:tcBorders>
              <w:left w:val="single" w:color="000000" w:sz="4" w:space="0"/>
              <w:right w:val="single" w:color="000000" w:sz="4" w:space="0"/>
            </w:tcBorders>
            <w:shd w:val="clear" w:color="auto" w:fill="auto"/>
            <w:vAlign w:val="center"/>
          </w:tcPr>
          <w:p w14:paraId="4E8453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sz w:val="24"/>
                <w:szCs w:val="24"/>
                <w:u w:val="none"/>
                <w:lang w:val="en-US"/>
              </w:rPr>
            </w:pPr>
          </w:p>
        </w:tc>
      </w:tr>
      <w:tr w14:paraId="4AF0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BE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A5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市场化板块子公司员工薪酬和绩效激励机制优化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4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c>
          <w:tcPr>
            <w:tcW w:w="2456" w:type="dxa"/>
            <w:vMerge w:val="continue"/>
            <w:tcBorders>
              <w:left w:val="single" w:color="000000" w:sz="4" w:space="0"/>
              <w:right w:val="single" w:color="000000" w:sz="4" w:space="0"/>
            </w:tcBorders>
            <w:shd w:val="clear" w:color="auto" w:fill="auto"/>
            <w:vAlign w:val="center"/>
          </w:tcPr>
          <w:p w14:paraId="15FB5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r>
      <w:tr w14:paraId="5F25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E5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C6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市场化板块子公司绩效考核机制优化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c>
          <w:tcPr>
            <w:tcW w:w="2456" w:type="dxa"/>
            <w:vMerge w:val="continue"/>
            <w:tcBorders>
              <w:left w:val="single" w:color="000000" w:sz="4" w:space="0"/>
              <w:bottom w:val="single" w:color="000000" w:sz="4" w:space="0"/>
              <w:right w:val="single" w:color="000000" w:sz="4" w:space="0"/>
            </w:tcBorders>
            <w:shd w:val="clear" w:color="auto" w:fill="auto"/>
            <w:vAlign w:val="center"/>
          </w:tcPr>
          <w:p w14:paraId="0B193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r>
    </w:tbl>
    <w:p w14:paraId="7C02B815">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说明：</w:t>
      </w:r>
    </w:p>
    <w:p w14:paraId="3A14654F">
      <w:pPr>
        <w:numPr>
          <w:ilvl w:val="0"/>
          <w:numId w:val="5"/>
        </w:num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供应商须按要求填写所有信息，不得随意更改本表格式。</w:t>
      </w:r>
    </w:p>
    <w:p w14:paraId="019C1727">
      <w:pPr>
        <w:numPr>
          <w:ilvl w:val="0"/>
          <w:numId w:val="5"/>
        </w:num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参评报价包括所有费用（含税），不得参评后再议价。所有承诺必须执行，不得中选后无故放弃。对于相关费用参评人漏报或</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不报，采购人将视为该漏报或不报部分的费用已包括在已报的报价中而不予支付。</w:t>
      </w:r>
    </w:p>
    <w:p w14:paraId="3AC5267A">
      <w:pPr>
        <w:numPr>
          <w:ilvl w:val="0"/>
          <w:numId w:val="5"/>
        </w:num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此表是参评文件的必要文件，是参评文件不可分割的组成部分。</w:t>
      </w:r>
    </w:p>
    <w:p w14:paraId="39AA64CA">
      <w:pPr>
        <w:adjustRightInd w:val="0"/>
        <w:snapToGrid w:val="0"/>
        <w:spacing w:line="300" w:lineRule="auto"/>
        <w:rPr>
          <w:rFonts w:hint="eastAsia" w:ascii="宋体" w:hAnsi="宋体" w:eastAsia="宋体" w:cs="宋体"/>
          <w:b/>
          <w:sz w:val="20"/>
          <w:szCs w:val="20"/>
        </w:rPr>
      </w:pPr>
    </w:p>
    <w:p w14:paraId="37D7F8B2">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777D18B8">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B4BA8E8">
      <w:pPr>
        <w:rPr>
          <w:rFonts w:hint="eastAsia" w:ascii="宋体" w:hAnsi="宋体" w:eastAsia="宋体"/>
          <w:sz w:val="28"/>
          <w:szCs w:val="28"/>
          <w:lang w:val="en-US" w:eastAsia="zh-CN"/>
        </w:rPr>
      </w:pPr>
      <w:r>
        <w:rPr>
          <w:rFonts w:hint="eastAsia" w:ascii="宋体" w:hAnsi="宋体" w:eastAsia="宋体"/>
          <w:sz w:val="28"/>
          <w:szCs w:val="28"/>
          <w:lang w:val="en-US" w:eastAsia="zh-CN"/>
        </w:rPr>
        <w:br w:type="page"/>
      </w:r>
    </w:p>
    <w:p w14:paraId="6DF051DD">
      <w:pPr>
        <w:adjustRightInd w:val="0"/>
        <w:snapToGrid w:val="0"/>
        <w:spacing w:line="560" w:lineRule="exact"/>
        <w:rPr>
          <w:rFonts w:hint="eastAsia"/>
          <w:lang w:val="en-US" w:eastAsia="zh-CN"/>
        </w:rPr>
      </w:pPr>
      <w:r>
        <w:rPr>
          <w:rFonts w:hint="eastAsia" w:asciiTheme="majorEastAsia" w:hAnsiTheme="majorEastAsia" w:eastAsiaTheme="majorEastAsia" w:cstheme="majorEastAsia"/>
          <w:b/>
          <w:bCs/>
          <w:sz w:val="28"/>
          <w:szCs w:val="28"/>
          <w:highlight w:val="none"/>
          <w:lang w:val="en-US" w:eastAsia="zh-CN"/>
        </w:rPr>
        <w:t>格式11 需求响应表</w:t>
      </w:r>
    </w:p>
    <w:p w14:paraId="28CDA811">
      <w:pPr>
        <w:keepNext w:val="0"/>
        <w:keepLines w:val="0"/>
        <w:pageBreakBefore w:val="0"/>
        <w:tabs>
          <w:tab w:val="left" w:pos="900"/>
        </w:tabs>
        <w:kinsoku/>
        <w:overflowPunct/>
        <w:topLinePunct w:val="0"/>
        <w:bidi w:val="0"/>
        <w:spacing w:line="440" w:lineRule="exact"/>
        <w:jc w:val="center"/>
        <w:outlineLvl w:val="9"/>
        <w:rPr>
          <w:rFonts w:ascii="Times New Roman" w:hAnsi="Times New Roman" w:eastAsia="宋体" w:cs="Times New Roman"/>
          <w:b/>
          <w:bCs/>
          <w:sz w:val="24"/>
          <w:szCs w:val="32"/>
        </w:rPr>
      </w:pPr>
      <w:r>
        <w:rPr>
          <w:rFonts w:hint="eastAsia" w:ascii="宋体" w:hAnsi="宋体" w:eastAsia="宋体" w:cs="仿宋_GB2312"/>
          <w:b/>
          <w:sz w:val="44"/>
          <w:szCs w:val="44"/>
          <w:highlight w:val="none"/>
        </w:rPr>
        <w:t>需求响应表</w:t>
      </w:r>
    </w:p>
    <w:p w14:paraId="1AB22CCF">
      <w:pPr>
        <w:pStyle w:val="10"/>
        <w:rPr>
          <w:color w:val="000000" w:themeColor="text1"/>
          <w14:textFill>
            <w14:solidFill>
              <w14:schemeClr w14:val="tx1"/>
            </w14:solidFill>
          </w14:textFill>
        </w:rPr>
      </w:pPr>
    </w:p>
    <w:p w14:paraId="23259C83">
      <w:pPr>
        <w:keepNext w:val="0"/>
        <w:keepLines w:val="0"/>
        <w:pageBreakBefore w:val="0"/>
        <w:widowControl w:val="0"/>
        <w:kinsoku/>
        <w:wordWrap/>
        <w:overflowPunct/>
        <w:topLinePunct w:val="0"/>
        <w:autoSpaceDE/>
        <w:autoSpaceDN/>
        <w:bidi w:val="0"/>
        <w:adjustRightInd/>
        <w:snapToGrid/>
        <w:spacing w:line="240" w:lineRule="auto"/>
        <w:ind w:left="1095" w:leftChars="0" w:hanging="1095" w:hangingChars="500"/>
        <w:jc w:val="left"/>
        <w:textAlignment w:val="auto"/>
        <w:outlineLvl w:val="9"/>
        <w:rPr>
          <w:rFonts w:hint="eastAsia" w:eastAsia="宋体"/>
          <w:color w:val="000000" w:themeColor="text1"/>
          <w:spacing w:val="-11"/>
          <w:sz w:val="44"/>
          <w:szCs w:val="44"/>
          <w:highlight w:val="none"/>
          <w:lang w:eastAsia="zh-CN"/>
          <w14:textFill>
            <w14:solidFill>
              <w14:schemeClr w14:val="tx1"/>
            </w14:solidFill>
          </w14:textFill>
        </w:rPr>
      </w:pPr>
      <w:r>
        <w:rPr>
          <w:rFonts w:hint="eastAsia" w:ascii="宋体" w:hAnsi="宋体" w:cs="宋体"/>
          <w:b/>
          <w:bCs/>
          <w:color w:val="000000" w:themeColor="text1"/>
          <w:spacing w:val="-11"/>
          <w:sz w:val="24"/>
          <w:highlight w:val="none"/>
          <w14:textFill>
            <w14:solidFill>
              <w14:schemeClr w14:val="tx1"/>
            </w14:solidFill>
          </w14:textFill>
        </w:rPr>
        <w:t>项目名称：</w:t>
      </w:r>
      <w:r>
        <w:rPr>
          <w:rFonts w:hint="eastAsia" w:ascii="宋体" w:hAnsi="宋体" w:eastAsia="宋体" w:cs="宋体"/>
          <w:bCs/>
          <w:color w:val="000000" w:themeColor="text1"/>
          <w:sz w:val="24"/>
          <w:szCs w:val="24"/>
          <w:lang w:val="en-US" w:eastAsia="zh-CN"/>
          <w14:textFill>
            <w14:solidFill>
              <w14:schemeClr w14:val="tx1"/>
            </w14:solidFill>
          </w14:textFill>
        </w:rPr>
        <w:t>中山市公共交通运输集团有限公司市场化板块子公司人才激励约束机制优化咨询项目（第二次）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147"/>
        <w:gridCol w:w="3980"/>
        <w:gridCol w:w="1970"/>
      </w:tblGrid>
      <w:tr w14:paraId="29AE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4399B907">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6147" w:type="dxa"/>
            <w:vAlign w:val="center"/>
          </w:tcPr>
          <w:p w14:paraId="72B52769">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3980" w:type="dxa"/>
            <w:vAlign w:val="center"/>
          </w:tcPr>
          <w:p w14:paraId="1D8F674D">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970" w:type="dxa"/>
            <w:vAlign w:val="center"/>
          </w:tcPr>
          <w:p w14:paraId="1408A903">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363B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705F95F">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6147" w:type="dxa"/>
            <w:vAlign w:val="center"/>
          </w:tcPr>
          <w:p w14:paraId="6386D6D7">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3980" w:type="dxa"/>
            <w:vAlign w:val="center"/>
          </w:tcPr>
          <w:p w14:paraId="6F7DE7F1">
            <w:pPr>
              <w:pStyle w:val="3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970" w:type="dxa"/>
            <w:vAlign w:val="center"/>
          </w:tcPr>
          <w:p w14:paraId="0B2FCA06">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2909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C6B74BC">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6147" w:type="dxa"/>
            <w:vAlign w:val="center"/>
          </w:tcPr>
          <w:p w14:paraId="45FBFD15">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eastAsia="zh-CN"/>
              </w:rPr>
              <w:t>服务商</w:t>
            </w:r>
            <w:r>
              <w:rPr>
                <w:rFonts w:hint="eastAsia" w:ascii="宋体" w:hAnsi="宋体"/>
                <w:szCs w:val="21"/>
                <w:highlight w:val="none"/>
              </w:rPr>
              <w:t>资质要求。</w:t>
            </w:r>
          </w:p>
        </w:tc>
        <w:tc>
          <w:tcPr>
            <w:tcW w:w="3980" w:type="dxa"/>
            <w:vAlign w:val="center"/>
          </w:tcPr>
          <w:p w14:paraId="7FF97E6D">
            <w:pPr>
              <w:pStyle w:val="3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970" w:type="dxa"/>
            <w:vAlign w:val="center"/>
          </w:tcPr>
          <w:p w14:paraId="60C74CE3">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710A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6E33D6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6147" w:type="dxa"/>
            <w:vAlign w:val="center"/>
          </w:tcPr>
          <w:p w14:paraId="1C1CCEF6">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eastAsia="zh-CN"/>
              </w:rPr>
              <w:t>服务商</w:t>
            </w:r>
            <w:r>
              <w:rPr>
                <w:rFonts w:hint="eastAsia" w:ascii="宋体" w:hAnsi="宋体"/>
                <w:szCs w:val="21"/>
                <w:highlight w:val="none"/>
              </w:rPr>
              <w:t>的各项须知、规约要求和责任义务。</w:t>
            </w:r>
          </w:p>
        </w:tc>
        <w:tc>
          <w:tcPr>
            <w:tcW w:w="3980" w:type="dxa"/>
            <w:vAlign w:val="center"/>
          </w:tcPr>
          <w:p w14:paraId="34D0F765">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0A39AF39">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76DB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32D64B6">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6147" w:type="dxa"/>
            <w:vAlign w:val="center"/>
          </w:tcPr>
          <w:p w14:paraId="4B400035">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3980" w:type="dxa"/>
            <w:vAlign w:val="center"/>
          </w:tcPr>
          <w:p w14:paraId="00BD5A63">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52324F51">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4924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50B4721">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6147" w:type="dxa"/>
            <w:vAlign w:val="center"/>
          </w:tcPr>
          <w:p w14:paraId="4519B302">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3980" w:type="dxa"/>
            <w:vAlign w:val="center"/>
          </w:tcPr>
          <w:p w14:paraId="5FD4053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5B0D098B">
            <w:pPr>
              <w:pStyle w:val="31"/>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24E7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253CE97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6147" w:type="dxa"/>
            <w:vAlign w:val="center"/>
          </w:tcPr>
          <w:p w14:paraId="080EB584">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3980" w:type="dxa"/>
            <w:vAlign w:val="center"/>
          </w:tcPr>
          <w:p w14:paraId="0FC3474F">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63ED0825">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075D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8" w:type="dxa"/>
            <w:vAlign w:val="center"/>
          </w:tcPr>
          <w:p w14:paraId="5BC21B9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6147" w:type="dxa"/>
            <w:vAlign w:val="center"/>
          </w:tcPr>
          <w:p w14:paraId="0681ADFB">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3980" w:type="dxa"/>
            <w:vAlign w:val="center"/>
          </w:tcPr>
          <w:p w14:paraId="0358BB8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36829B51">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6FE05146">
      <w:pPr>
        <w:pStyle w:val="8"/>
      </w:pPr>
    </w:p>
    <w:p w14:paraId="00AAB134">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49AE1AB8">
      <w:pPr>
        <w:spacing w:line="360" w:lineRule="auto"/>
        <w:rPr>
          <w:rFonts w:hint="eastAsia" w:ascii="宋体" w:hAnsi="宋体"/>
          <w:sz w:val="28"/>
          <w:szCs w:val="28"/>
        </w:rPr>
        <w:sectPr>
          <w:headerReference r:id="rId15" w:type="default"/>
          <w:footerReference r:id="rId1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8AC4E2A">
      <w:pPr>
        <w:rPr>
          <w:rFonts w:hint="eastAsia" w:ascii="宋体" w:hAnsi="宋体"/>
          <w:sz w:val="28"/>
          <w:szCs w:val="28"/>
        </w:rPr>
      </w:pPr>
    </w:p>
    <w:p w14:paraId="1A75B232">
      <w:pPr>
        <w:pStyle w:val="2"/>
        <w:jc w:val="center"/>
        <w:rPr>
          <w:rFonts w:hint="default" w:eastAsia="宋体"/>
          <w:b/>
          <w:bCs/>
          <w:sz w:val="44"/>
          <w:szCs w:val="44"/>
          <w:highlight w:val="none"/>
          <w:lang w:val="en-US" w:eastAsia="zh-CN"/>
        </w:rPr>
      </w:pPr>
      <w:r>
        <w:rPr>
          <w:rFonts w:hint="eastAsia"/>
          <w:b/>
          <w:bCs/>
          <w:sz w:val="44"/>
          <w:szCs w:val="44"/>
          <w:highlight w:val="none"/>
          <w:lang w:val="en-US" w:eastAsia="zh-CN"/>
        </w:rPr>
        <w:t>第五部分 合同格式</w:t>
      </w:r>
    </w:p>
    <w:p w14:paraId="4D13041E">
      <w:pPr>
        <w:spacing w:line="440" w:lineRule="exact"/>
        <w:ind w:right="105" w:rightChars="50"/>
        <w:jc w:val="center"/>
        <w:rPr>
          <w:rFonts w:hint="eastAsia" w:ascii="宋体" w:hAnsi="宋体" w:eastAsia="宋体" w:cs="宋体"/>
          <w:b/>
          <w:sz w:val="40"/>
          <w:szCs w:val="40"/>
          <w:highlight w:val="none"/>
        </w:rPr>
      </w:pPr>
    </w:p>
    <w:p w14:paraId="676000BA">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r>
        <w:rPr>
          <w:rFonts w:hint="eastAsia" w:ascii="宋体" w:hAnsi="宋体" w:eastAsia="宋体" w:cs="宋体"/>
          <w:b/>
          <w:sz w:val="40"/>
          <w:szCs w:val="40"/>
          <w:highlight w:val="none"/>
        </w:rPr>
        <w:t>（本合同仅供参考，双方在签订合同时可根据实际情况作相应修改）</w:t>
      </w:r>
    </w:p>
    <w:p w14:paraId="4B71FBD3">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21204A90">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1C4C66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2FB698FE">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5A569021">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92127A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43A400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14213CB">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217FBDD0">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8C9C12D">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316566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197FE81D">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75BDFE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38629FE7">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DDC4C52">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5352E9EA">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7127ABC6">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0BCC4A3">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53A383E">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58C473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645559A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20F8EE4">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47A7FB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343651F4">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3BC99CA4">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1CB51C98">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14:paraId="360ECF7B">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853BF79">
      <w:pPr>
        <w:spacing w:line="440" w:lineRule="exact"/>
        <w:ind w:right="105" w:rightChars="50"/>
        <w:jc w:val="right"/>
        <w:rPr>
          <w:rFonts w:hint="default" w:asciiTheme="minorEastAsia" w:hAnsiTheme="minorEastAsia" w:eastAsiaTheme="minorEastAsia" w:cstheme="minorEastAsia"/>
          <w:b/>
          <w:color w:val="auto"/>
          <w:spacing w:val="6"/>
          <w:sz w:val="44"/>
          <w:szCs w:val="44"/>
          <w:highlight w:val="none"/>
          <w:lang w:val="en-US" w:eastAsia="zh-CN"/>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合同编号：中公交A[2025]***号</w:t>
      </w:r>
    </w:p>
    <w:p w14:paraId="3AF0C576">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p>
    <w:p w14:paraId="7E5EBB29">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w:t>
      </w:r>
    </w:p>
    <w:p w14:paraId="17DF757E">
      <w:pPr>
        <w:keepNext w:val="0"/>
        <w:keepLines w:val="0"/>
        <w:pageBreakBefore w:val="0"/>
        <w:kinsoku/>
        <w:wordWrap/>
        <w:overflowPunct/>
        <w:topLinePunct w:val="0"/>
        <w:autoSpaceDE/>
        <w:autoSpaceDN/>
        <w:bidi w:val="0"/>
        <w:adjustRightInd/>
        <w:snapToGrid/>
        <w:spacing w:line="440" w:lineRule="exact"/>
        <w:ind w:right="0" w:rightChars="0" w:firstLine="0" w:firstLineChars="0"/>
        <w:textAlignment w:val="auto"/>
        <w:rPr>
          <w:rFonts w:hint="default"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委托方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r>
        <w:rPr>
          <w:rFonts w:hint="eastAsia" w:ascii="仿宋" w:hAnsi="仿宋" w:eastAsia="仿宋" w:cs="仿宋"/>
          <w:b w:val="0"/>
          <w:color w:val="auto"/>
          <w:spacing w:val="6"/>
          <w:sz w:val="24"/>
          <w:szCs w:val="24"/>
          <w:highlight w:val="none"/>
          <w:lang w:val="en-US" w:eastAsia="zh-CN"/>
        </w:rPr>
        <w:t>中山市公共交通运输集团有限公司</w:t>
      </w:r>
    </w:p>
    <w:p w14:paraId="0D529517">
      <w:pPr>
        <w:keepNext w:val="0"/>
        <w:keepLines w:val="0"/>
        <w:pageBreakBefore w:val="0"/>
        <w:kinsoku/>
        <w:wordWrap/>
        <w:overflowPunct/>
        <w:topLinePunct w:val="0"/>
        <w:autoSpaceDE/>
        <w:autoSpaceDN/>
        <w:bidi w:val="0"/>
        <w:adjustRightInd/>
        <w:snapToGrid/>
        <w:spacing w:line="440" w:lineRule="exact"/>
        <w:ind w:right="0" w:rightChars="0" w:firstLine="0" w:firstLineChars="0"/>
        <w:textAlignment w:val="auto"/>
        <w:rPr>
          <w:rFonts w:hint="eastAsia" w:ascii="仿宋" w:hAnsi="仿宋" w:eastAsia="仿宋" w:cs="仿宋"/>
          <w:b w:val="0"/>
          <w:color w:val="auto"/>
          <w:spacing w:val="6"/>
          <w:sz w:val="24"/>
          <w:szCs w:val="24"/>
          <w:highlight w:val="none"/>
          <w:u w:val="none"/>
        </w:rPr>
      </w:pP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受托方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p>
    <w:p w14:paraId="42A4ED94">
      <w:pPr>
        <w:pStyle w:val="9"/>
        <w:keepNext w:val="0"/>
        <w:keepLines w:val="0"/>
        <w:pageBreakBefore w:val="0"/>
        <w:widowControl w:val="0"/>
        <w:kinsoku/>
        <w:wordWrap/>
        <w:overflowPunct/>
        <w:topLinePunct w:val="0"/>
        <w:autoSpaceDE/>
        <w:autoSpaceDN/>
        <w:bidi w:val="0"/>
        <w:adjustRightInd/>
        <w:snapToGrid/>
        <w:spacing w:line="440" w:lineRule="exact"/>
        <w:ind w:left="0" w:right="0" w:rightChars="0" w:firstLine="504" w:firstLineChars="200"/>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甲乙双方经过友好协商，本着公平、诚实、信用的原则，在平等自愿、互惠互利的基础上，就</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甲方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向乙方采购市场化板块子公司人才激励约束机制优化咨询项目</w:t>
      </w:r>
      <w:r>
        <w:rPr>
          <w:rFonts w:hint="eastAsia" w:ascii="仿宋" w:hAnsi="仿宋" w:eastAsia="仿宋" w:cs="仿宋"/>
          <w:color w:val="000000" w:themeColor="text1"/>
          <w:spacing w:val="6"/>
          <w:sz w:val="24"/>
          <w:szCs w:val="24"/>
          <w:highlight w:val="none"/>
          <w14:textFill>
            <w14:solidFill>
              <w14:schemeClr w14:val="tx1"/>
            </w14:solidFill>
          </w14:textFill>
        </w:rPr>
        <w:t>事</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宜</w:t>
      </w:r>
      <w:r>
        <w:rPr>
          <w:rFonts w:hint="eastAsia" w:ascii="仿宋" w:hAnsi="仿宋" w:eastAsia="仿宋" w:cs="仿宋"/>
          <w:color w:val="000000" w:themeColor="text1"/>
          <w:spacing w:val="6"/>
          <w:sz w:val="24"/>
          <w:szCs w:val="24"/>
          <w:highlight w:val="none"/>
          <w14:textFill>
            <w14:solidFill>
              <w14:schemeClr w14:val="tx1"/>
            </w14:solidFill>
          </w14:textFill>
        </w:rPr>
        <w:t>，根据</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pacing w:val="6"/>
          <w:sz w:val="24"/>
          <w:szCs w:val="24"/>
          <w:highlight w:val="none"/>
          <w14:textFill>
            <w14:solidFill>
              <w14:schemeClr w14:val="tx1"/>
            </w14:solidFill>
          </w14:textFill>
        </w:rPr>
        <w:t>及相关法律法规的规定，就下列条款达成一致，签</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订</w:t>
      </w:r>
      <w:r>
        <w:rPr>
          <w:rFonts w:hint="eastAsia" w:ascii="仿宋" w:hAnsi="仿宋" w:eastAsia="仿宋" w:cs="仿宋"/>
          <w:color w:val="000000" w:themeColor="text1"/>
          <w:spacing w:val="6"/>
          <w:sz w:val="24"/>
          <w:szCs w:val="24"/>
          <w:highlight w:val="none"/>
          <w14:textFill>
            <w14:solidFill>
              <w14:schemeClr w14:val="tx1"/>
            </w14:solidFill>
          </w14:textFill>
        </w:rPr>
        <w:t>本合同</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,以资共同遵守</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10D907DC">
      <w:pPr>
        <w:pStyle w:val="9"/>
        <w:keepNext w:val="0"/>
        <w:keepLines w:val="0"/>
        <w:pageBreakBefore w:val="0"/>
        <w:widowControl w:val="0"/>
        <w:kinsoku/>
        <w:wordWrap/>
        <w:overflowPunct/>
        <w:topLinePunct w:val="0"/>
        <w:autoSpaceDE/>
        <w:autoSpaceDN/>
        <w:bidi w:val="0"/>
        <w:adjustRightInd/>
        <w:snapToGrid/>
        <w:spacing w:line="440" w:lineRule="exact"/>
        <w:ind w:left="0" w:right="0" w:rightChars="0" w:firstLine="504" w:firstLineChars="200"/>
        <w:textAlignment w:val="auto"/>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一</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项目内容</w:t>
      </w:r>
    </w:p>
    <w:p w14:paraId="44B0AA79">
      <w:pPr>
        <w:pStyle w:val="9"/>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乙方按</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以下</w:t>
      </w:r>
      <w:r>
        <w:rPr>
          <w:rFonts w:hint="eastAsia" w:ascii="仿宋" w:hAnsi="仿宋" w:eastAsia="仿宋" w:cs="仿宋"/>
          <w:color w:val="000000" w:themeColor="text1"/>
          <w:spacing w:val="6"/>
          <w:sz w:val="24"/>
          <w:szCs w:val="24"/>
          <w:highlight w:val="none"/>
          <w14:textFill>
            <w14:solidFill>
              <w14:schemeClr w14:val="tx1"/>
            </w14:solidFill>
          </w14:textFill>
        </w:rPr>
        <w:t>内容对</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甲方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提供项目服务</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p>
    <w:p w14:paraId="6E11A3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（一）市场板块子公司人才激励现状调研诊断</w:t>
      </w:r>
    </w:p>
    <w:p w14:paraId="2685FAE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围绕甲方总部、市场化板块子公司、行业标杆企业以及相关管理人员和业务骨干展开。调研内容涵盖组织管控、战略经营、人力资源管理、薪酬激励、绩效考核现状，以及员工满意度与期望。通过资料收集、访谈、问卷调查和行业对标分析等方法，形成《市场化板块子公司薪酬激励现状调研诊断和优化策略报告》，总结现状、分析问题并提出优化建议。</w:t>
      </w:r>
    </w:p>
    <w:p w14:paraId="7C68AE5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（二）市场板块子公司组织管控机制优化</w:t>
      </w:r>
    </w:p>
    <w:p w14:paraId="0CBA2F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针对不同子公司的业务规模、管理成熟度和经营难度，按照“一企一策”原则，进行差异化授权，形成不同子公司《重大事项权责清单》（一企一表），并按“一年一调”方式，建立年度动态调整机制。</w:t>
      </w:r>
    </w:p>
    <w:p w14:paraId="46F487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（三）市场板块子公司薪酬和绩效激励机制优化</w:t>
      </w:r>
    </w:p>
    <w:p w14:paraId="6486E97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1.子公司负责人薪酬和考核机制</w:t>
      </w:r>
    </w:p>
    <w:p w14:paraId="3511EED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建立对子公司负责人“高激励、严考核”的薪酬和考核机制，充分贯彻“业绩导向、利润导向、贡献导向”，将其经理层的个人收入密切和经营业绩考核挂钩，刚性考核、刚性兑现，夯实经营责任和压力，打造一支能打硬仗、善打胜仗的经理人队伍。</w:t>
      </w:r>
    </w:p>
    <w:p w14:paraId="6487546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（2）设计《市场化板块子公司负责人薪酬和绩效管理制度》。</w:t>
      </w:r>
    </w:p>
    <w:p w14:paraId="5766CAD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2.非销售人员薪酬激励机制</w:t>
      </w:r>
    </w:p>
    <w:p w14:paraId="1019FB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（1）统一设计员工的职业发展通道和薪酬等级标准，统一薪酬核算方法和兑现方式。</w:t>
      </w:r>
    </w:p>
    <w:p w14:paraId="1F238D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（2）在绩效工资的核算上，通过“绩效调节系数”来体现不同子公司的差异（发展阶段、营收规模、盈利贡献和管理难度等），拉开不同单位员工绩效薪酬的差距，提升薪酬的内部公平感。</w:t>
      </w:r>
    </w:p>
    <w:p w14:paraId="5E9C54A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（3）设计《市场化板块子公司（非销售类）员工职级和薪酬管理制度》（含子公司“绩效调节系数”核定标准）以及现在职员工职级和薪酬对套测算。</w:t>
      </w:r>
    </w:p>
    <w:p w14:paraId="4E8065B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3.销售人员薪酬激励机制</w:t>
      </w:r>
    </w:p>
    <w:p w14:paraId="12809B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（1）对不同子公司的销售人员，按照不同的业务（如客运站业务、包车与外修业务、广告与文创业务），按“一企一策”原则设计各自的薪酬激励方案。</w:t>
      </w:r>
    </w:p>
    <w:p w14:paraId="6C444F4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（2）设计不同子公司《（销售类）员工薪酬和绩效激励实施方案》（一企一策）。</w:t>
      </w:r>
    </w:p>
    <w:p w14:paraId="33BFB8F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4.超额利润激励和专项激励制度</w:t>
      </w:r>
    </w:p>
    <w:p w14:paraId="2E1A739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对不同盈利水平的子公司，通过超额利润激励实现“赚钱多的收入高、赚钱少的收入低”；同时，结合各细分业务的特点，设定市场拓展、全员营销、大项目奖励、业绩达标先锋奖励、降本增效奖励等多种形式的专项奖励，丰富激励手段，提高薪酬激励机制的指引性。</w:t>
      </w:r>
    </w:p>
    <w:p w14:paraId="2333889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（2）设计《市场化板块子公司超额利润激励管理制度》和《市场化板块子公司2025年专项激励实施方案》（含具体激励项目、标准及分配规则）。</w:t>
      </w:r>
    </w:p>
    <w:p w14:paraId="6194773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（四）市场板块子公司绩效考核机制优化</w:t>
      </w:r>
    </w:p>
    <w:p w14:paraId="070314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b w:val="0"/>
          <w:color w:val="000000" w:themeColor="text1"/>
          <w:spacing w:val="6"/>
          <w:sz w:val="24"/>
          <w:szCs w:val="24"/>
          <w:highlight w:val="cyan"/>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对各市场化板块子公司年度经营计划和年度重点工作计划进行分析，提取部门、岗位关键绩效指标，设计不同子公司《年度绩效考核实施方案》（一企一策）和不同子公司《部门、岗位考核指标》，并进行绩效体系试运行辅导、修正，以确保绩效考核机制的有效实施。</w:t>
      </w:r>
    </w:p>
    <w:p w14:paraId="2C15D859">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五</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项目服务跟踪期（自服务项目内容完成之日起开始计算一年的服务跟踪期）为</w:t>
      </w:r>
      <w:r>
        <w:rPr>
          <w:rFonts w:hint="eastAsia" w:ascii="仿宋" w:hAnsi="仿宋" w:eastAsia="仿宋" w:cs="仿宋"/>
          <w:b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年。</w:t>
      </w:r>
    </w:p>
    <w:p w14:paraId="5AFE232B">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cyan"/>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二</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履行期限及地点</w:t>
      </w:r>
    </w:p>
    <w:p w14:paraId="70C29BC4">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04" w:firstLineChars="200"/>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期限：自项目合同签订之日起至项目服务跟踪期（</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自服务项目内容完成之日起开始计算一年的服务跟踪期</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）止。乙方需在</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2025年7月31日</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前</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完成服务项目内容，</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服务</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直至2026年7月30日结束。</w:t>
      </w:r>
    </w:p>
    <w:p w14:paraId="5103EEDC">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二</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地点：甲方所在地</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或按双方协商地点</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393C18E5">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三</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职责</w:t>
      </w:r>
    </w:p>
    <w:p w14:paraId="4C5A66AC">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乙方应按本合同第一</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项约定的内容</w:t>
      </w:r>
      <w:r>
        <w:rPr>
          <w:rFonts w:hint="eastAsia" w:ascii="仿宋" w:hAnsi="仿宋" w:eastAsia="仿宋" w:cs="仿宋"/>
          <w:color w:val="000000" w:themeColor="text1"/>
          <w:spacing w:val="6"/>
          <w:sz w:val="24"/>
          <w:szCs w:val="24"/>
          <w:highlight w:val="none"/>
          <w14:textFill>
            <w14:solidFill>
              <w14:schemeClr w14:val="tx1"/>
            </w14:solidFill>
          </w14:textFill>
        </w:rPr>
        <w:t>为甲方提供服务</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并严格按照</w:t>
      </w:r>
      <w:r>
        <w:rPr>
          <w:rFonts w:hint="eastAsia" w:ascii="仿宋" w:hAnsi="仿宋" w:eastAsia="仿宋" w:cs="仿宋"/>
          <w:color w:val="000000" w:themeColor="text1"/>
          <w:spacing w:val="6"/>
          <w:sz w:val="24"/>
          <w:highlight w:val="none"/>
          <w:lang w:val="en-US" w:eastAsia="zh-CN"/>
          <w14:textFill>
            <w14:solidFill>
              <w14:schemeClr w14:val="tx1"/>
            </w14:solidFill>
          </w14:textFill>
        </w:rPr>
        <w:t>《项目阶段工作及时间节点分解表》（详见合同附件）履行</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8AF7F3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pacing w:val="6"/>
          <w:sz w:val="24"/>
          <w:szCs w:val="24"/>
          <w:highlight w:val="none"/>
          <w14:textFill>
            <w14:solidFill>
              <w14:schemeClr w14:val="tx1"/>
            </w14:solidFill>
          </w14:textFill>
        </w:rPr>
        <w:t>甲方应为乙方提供工作条件，积极配合工作，并按合同要求支付费用。</w:t>
      </w:r>
    </w:p>
    <w:p w14:paraId="6E423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pacing w:val="6"/>
          <w:sz w:val="24"/>
          <w:szCs w:val="24"/>
          <w:highlight w:val="none"/>
          <w14:textFill>
            <w14:solidFill>
              <w14:schemeClr w14:val="tx1"/>
            </w14:solidFill>
          </w14:textFill>
        </w:rPr>
        <w:t>如乙方本次提供的服务有任何不周之处，甲方可与乙方沟通联络，并提出意见和建议。</w:t>
      </w:r>
    </w:p>
    <w:p w14:paraId="12111F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w:t>
      </w:r>
      <w:r>
        <w:rPr>
          <w:rFonts w:hint="eastAsia" w:ascii="仿宋" w:hAnsi="仿宋" w:eastAsia="仿宋" w:cs="仿宋"/>
          <w:color w:val="000000" w:themeColor="text1"/>
          <w:spacing w:val="6"/>
          <w:sz w:val="24"/>
          <w:highlight w:val="none"/>
          <w:lang w:val="en-US" w:eastAsia="zh-CN"/>
          <w14:textFill>
            <w14:solidFill>
              <w14:schemeClr w14:val="tx1"/>
            </w14:solidFill>
          </w14:textFill>
        </w:rPr>
        <w:t>四</w:t>
      </w:r>
      <w:r>
        <w:rPr>
          <w:rFonts w:hint="eastAsia" w:ascii="仿宋" w:hAnsi="仿宋" w:eastAsia="仿宋" w:cs="仿宋"/>
          <w:color w:val="000000" w:themeColor="text1"/>
          <w:spacing w:val="6"/>
          <w:sz w:val="24"/>
          <w:highlight w:val="none"/>
          <w:lang w:eastAsia="zh-CN"/>
          <w14:textFill>
            <w14:solidFill>
              <w14:schemeClr w14:val="tx1"/>
            </w14:solidFill>
          </w14:textFill>
        </w:rPr>
        <w:t>）乙方完成的服务内容需提交给甲方进行验收，甲方有权根据项目要求和质量标准提出修改意见。乙方应无条件配合甲方进行修改完善，直至甲方验收合格为止。乙方需在规定时间内积极响应甲方的修改要求，确保项目进度不受影响。</w:t>
      </w:r>
    </w:p>
    <w:p w14:paraId="6B18EC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w:t>
      </w:r>
      <w:r>
        <w:rPr>
          <w:rFonts w:hint="eastAsia" w:ascii="仿宋" w:hAnsi="仿宋" w:eastAsia="仿宋" w:cs="仿宋"/>
          <w:color w:val="000000" w:themeColor="text1"/>
          <w:spacing w:val="6"/>
          <w:sz w:val="24"/>
          <w:highlight w:val="none"/>
          <w:lang w:val="en-US" w:eastAsia="zh-CN"/>
          <w14:textFill>
            <w14:solidFill>
              <w14:schemeClr w14:val="tx1"/>
            </w14:solidFill>
          </w14:textFill>
        </w:rPr>
        <w:t>五</w:t>
      </w:r>
      <w:r>
        <w:rPr>
          <w:rFonts w:hint="eastAsia" w:ascii="仿宋" w:hAnsi="仿宋" w:eastAsia="仿宋" w:cs="仿宋"/>
          <w:color w:val="000000" w:themeColor="text1"/>
          <w:spacing w:val="6"/>
          <w:sz w:val="24"/>
          <w:highlight w:val="none"/>
          <w:lang w:eastAsia="zh-CN"/>
          <w14:textFill>
            <w14:solidFill>
              <w14:schemeClr w14:val="tx1"/>
            </w14:solidFill>
          </w14:textFill>
        </w:rPr>
        <w:t>）项目完成后，乙方应为甲方提供现场培训和宣贯服务。乙方需安排专业人员对甲方相关人员进行系统的培训，确保其能够熟练掌握项目相关知识和技能。同时，乙方应协助甲方进行项目的宣贯工作，帮助甲方内部人员了解项目的具体内容、优势及操作流程等，以保障项目的顺利实施和推广。</w:t>
      </w:r>
    </w:p>
    <w:p w14:paraId="3E515B22">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四</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售后服务</w:t>
      </w:r>
    </w:p>
    <w:p w14:paraId="5B568E77">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both"/>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项目内容完成后</w:t>
      </w:r>
      <w:r>
        <w:rPr>
          <w:rFonts w:hint="eastAsia" w:ascii="仿宋" w:hAnsi="仿宋" w:eastAsia="仿宋" w:cs="仿宋"/>
          <w:color w:val="000000" w:themeColor="text1"/>
          <w:spacing w:val="6"/>
          <w:sz w:val="24"/>
          <w:szCs w:val="24"/>
          <w:highlight w:val="none"/>
          <w14:textFill>
            <w14:solidFill>
              <w14:schemeClr w14:val="tx1"/>
            </w14:solidFill>
          </w14:textFill>
        </w:rPr>
        <w:t>，乙方应随时与甲方保持联络，回答甲方提出</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pacing w:val="6"/>
          <w:sz w:val="24"/>
          <w:szCs w:val="24"/>
          <w:highlight w:val="none"/>
          <w14:textFill>
            <w14:solidFill>
              <w14:schemeClr w14:val="tx1"/>
            </w14:solidFill>
          </w14:textFill>
        </w:rPr>
        <w:t>关于</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市场化板块子公司人才激励约束机制优化咨询项目</w:t>
      </w:r>
      <w:r>
        <w:rPr>
          <w:rFonts w:hint="eastAsia" w:ascii="仿宋" w:hAnsi="仿宋" w:eastAsia="仿宋" w:cs="仿宋"/>
          <w:color w:val="000000" w:themeColor="text1"/>
          <w:spacing w:val="6"/>
          <w:sz w:val="24"/>
          <w:szCs w:val="24"/>
          <w:highlight w:val="none"/>
          <w14:textFill>
            <w14:solidFill>
              <w14:schemeClr w14:val="tx1"/>
            </w14:solidFill>
          </w14:textFill>
        </w:rPr>
        <w:t>相关的各种问题,并不再收取任何费用。</w:t>
      </w:r>
    </w:p>
    <w:p w14:paraId="33130C19">
      <w:pPr>
        <w:keepNext w:val="0"/>
        <w:keepLines w:val="0"/>
        <w:pageBreakBefore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五</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保密职责</w:t>
      </w:r>
    </w:p>
    <w:p w14:paraId="677578FB">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甲乙双方在未经对方同意的情况下，不得以任何方式泄露对方资料和数据给任何第三方，否则应赔偿对方全部损失。但甲乙双方公开发放的资料及国家法律</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法规</w:t>
      </w:r>
      <w:r>
        <w:rPr>
          <w:rFonts w:hint="eastAsia" w:ascii="仿宋" w:hAnsi="仿宋" w:eastAsia="仿宋" w:cs="仿宋"/>
          <w:color w:val="000000" w:themeColor="text1"/>
          <w:spacing w:val="6"/>
          <w:sz w:val="24"/>
          <w:szCs w:val="24"/>
          <w:highlight w:val="none"/>
          <w14:textFill>
            <w14:solidFill>
              <w14:schemeClr w14:val="tx1"/>
            </w14:solidFill>
          </w14:textFill>
        </w:rPr>
        <w:t>另有规定的除外。</w:t>
      </w:r>
    </w:p>
    <w:p w14:paraId="7F374CA7">
      <w:pPr>
        <w:keepNext w:val="0"/>
        <w:keepLines w:val="0"/>
        <w:pageBreakBefore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六</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费用及支付方式</w:t>
      </w:r>
    </w:p>
    <w:p w14:paraId="4479DE90">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一</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项目</w:t>
      </w:r>
      <w:r>
        <w:rPr>
          <w:rFonts w:hint="eastAsia" w:ascii="仿宋" w:hAnsi="仿宋" w:eastAsia="仿宋" w:cs="仿宋"/>
          <w:bCs w:val="0"/>
          <w:color w:val="000000" w:themeColor="text1"/>
          <w:spacing w:val="6"/>
          <w:sz w:val="24"/>
          <w:szCs w:val="24"/>
          <w:highlight w:val="none"/>
          <w14:textFill>
            <w14:solidFill>
              <w14:schemeClr w14:val="tx1"/>
            </w14:solidFill>
          </w14:textFill>
        </w:rPr>
        <w:t>费用合计：人民币</w:t>
      </w:r>
      <w:r>
        <w:rPr>
          <w:rFonts w:hint="eastAsia" w:ascii="仿宋" w:hAnsi="仿宋" w:eastAsia="仿宋" w:cs="仿宋"/>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pacing w:val="6"/>
          <w:sz w:val="24"/>
          <w:szCs w:val="24"/>
          <w:highlight w:val="none"/>
          <w:u w:val="none"/>
          <w14:textFill>
            <w14:solidFill>
              <w14:schemeClr w14:val="tx1"/>
            </w14:solidFill>
          </w14:textFill>
        </w:rPr>
        <w:t>元整</w:t>
      </w:r>
      <w:r>
        <w:rPr>
          <w:rFonts w:hint="eastAsia" w:ascii="仿宋" w:hAnsi="仿宋" w:eastAsia="仿宋" w:cs="仿宋"/>
          <w:bCs w:val="0"/>
          <w:color w:val="000000" w:themeColor="text1"/>
          <w:spacing w:val="6"/>
          <w:sz w:val="24"/>
          <w:szCs w:val="24"/>
          <w:highlight w:val="none"/>
          <w14:textFill>
            <w14:solidFill>
              <w14:schemeClr w14:val="tx1"/>
            </w14:solidFill>
          </w14:textFill>
        </w:rPr>
        <w:t>（</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元，</w:t>
      </w:r>
      <w:r>
        <w:rPr>
          <w:rFonts w:hint="eastAsia" w:ascii="仿宋" w:hAnsi="仿宋" w:eastAsia="仿宋" w:cs="仿宋"/>
          <w:color w:val="000000" w:themeColor="text1"/>
          <w:spacing w:val="6"/>
          <w:sz w:val="24"/>
          <w:szCs w:val="24"/>
          <w:highlight w:val="none"/>
          <w14:textFill>
            <w14:solidFill>
              <w14:schemeClr w14:val="tx1"/>
            </w14:solidFill>
          </w14:textFill>
        </w:rPr>
        <w:t>含税金</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交通费等乙方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因</w:t>
      </w:r>
      <w:r>
        <w:rPr>
          <w:rFonts w:hint="eastAsia" w:ascii="仿宋" w:hAnsi="仿宋" w:eastAsia="仿宋" w:cs="仿宋"/>
          <w:color w:val="000000" w:themeColor="text1"/>
          <w:spacing w:val="6"/>
          <w:sz w:val="24"/>
          <w:szCs w:val="24"/>
          <w:highlight w:val="none"/>
          <w14:textFill>
            <w14:solidFill>
              <w14:schemeClr w14:val="tx1"/>
            </w14:solidFill>
          </w14:textFill>
        </w:rPr>
        <w:t>履行本合同产生的所有费用）。未经甲方书面同意，乙方不得就本合同的履行另行收取甲方其他费用。</w:t>
      </w:r>
    </w:p>
    <w:p w14:paraId="0E7E4AFF">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504" w:firstLineChars="200"/>
        <w:jc w:val="left"/>
        <w:textAlignment w:val="auto"/>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二</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支付期限：</w:t>
      </w:r>
      <w:r>
        <w:rPr>
          <w:rFonts w:hint="eastAsia" w:ascii="仿宋" w:hAnsi="仿宋" w:eastAsia="仿宋" w:cs="仿宋"/>
          <w:bCs/>
          <w:color w:val="000000" w:themeColor="text1"/>
          <w:sz w:val="24"/>
          <w:highlight w:val="none"/>
          <w14:textFill>
            <w14:solidFill>
              <w14:schemeClr w14:val="tx1"/>
            </w14:solidFill>
          </w14:textFill>
        </w:rPr>
        <w:t>自本项目</w:t>
      </w:r>
      <w:r>
        <w:rPr>
          <w:rFonts w:hint="eastAsia" w:ascii="仿宋" w:hAnsi="仿宋" w:eastAsia="仿宋" w:cs="仿宋"/>
          <w:bCs/>
          <w:color w:val="000000" w:themeColor="text1"/>
          <w:sz w:val="24"/>
          <w:highlight w:val="none"/>
          <w:lang w:val="en-US" w:eastAsia="zh-CN"/>
          <w14:textFill>
            <w14:solidFill>
              <w14:schemeClr w14:val="tx1"/>
            </w14:solidFill>
          </w14:textFill>
        </w:rPr>
        <w:t>完成</w:t>
      </w:r>
      <w:r>
        <w:rPr>
          <w:rFonts w:hint="eastAsia" w:ascii="仿宋" w:hAnsi="仿宋" w:eastAsia="仿宋" w:cs="仿宋"/>
          <w:bCs/>
          <w:color w:val="000000" w:themeColor="text1"/>
          <w:sz w:val="24"/>
          <w:highlight w:val="none"/>
          <w14:textFill>
            <w14:solidFill>
              <w14:schemeClr w14:val="tx1"/>
            </w14:solidFill>
          </w14:textFill>
        </w:rPr>
        <w:t>之日起</w:t>
      </w:r>
      <w:r>
        <w:rPr>
          <w:rFonts w:hint="eastAsia" w:ascii="仿宋" w:hAnsi="仿宋" w:eastAsia="仿宋" w:cs="仿宋"/>
          <w:bCs/>
          <w:color w:val="000000" w:themeColor="text1"/>
          <w:sz w:val="24"/>
          <w:highlight w:val="none"/>
          <w:lang w:eastAsia="zh-CN"/>
          <w14:textFill>
            <w14:solidFill>
              <w14:schemeClr w14:val="tx1"/>
            </w14:solidFill>
          </w14:textFill>
        </w:rPr>
        <w:t>（</w:t>
      </w:r>
      <w:r>
        <w:rPr>
          <w:rFonts w:hint="eastAsia" w:ascii="仿宋" w:hAnsi="仿宋" w:eastAsia="仿宋" w:cs="仿宋"/>
          <w:bCs/>
          <w:color w:val="000000" w:themeColor="text1"/>
          <w:sz w:val="24"/>
          <w:highlight w:val="none"/>
          <w:lang w:val="en-US" w:eastAsia="zh-CN"/>
          <w14:textFill>
            <w14:solidFill>
              <w14:schemeClr w14:val="tx1"/>
            </w14:solidFill>
          </w14:textFill>
        </w:rPr>
        <w:t>甲方验收合格</w:t>
      </w:r>
      <w:r>
        <w:rPr>
          <w:rFonts w:hint="eastAsia" w:ascii="仿宋" w:hAnsi="仿宋" w:eastAsia="仿宋" w:cs="仿宋"/>
          <w:bCs/>
          <w:color w:val="000000" w:themeColor="text1"/>
          <w:sz w:val="24"/>
          <w:highlight w:val="none"/>
          <w:lang w:eastAsia="zh-CN"/>
          <w14:textFill>
            <w14:solidFill>
              <w14:schemeClr w14:val="tx1"/>
            </w14:solidFill>
          </w14:textFill>
        </w:rPr>
        <w:t>）</w:t>
      </w:r>
    </w:p>
    <w:p w14:paraId="5B6D607E">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480"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且</w:t>
      </w:r>
      <w:r>
        <w:rPr>
          <w:rFonts w:hint="eastAsia" w:ascii="仿宋" w:hAnsi="仿宋" w:eastAsia="仿宋" w:cs="仿宋"/>
          <w:bCs/>
          <w:color w:val="000000" w:themeColor="text1"/>
          <w:sz w:val="24"/>
          <w:highlight w:val="none"/>
          <w:lang w:val="en-US" w:eastAsia="zh-CN"/>
          <w14:textFill>
            <w14:solidFill>
              <w14:schemeClr w14:val="tx1"/>
            </w14:solidFill>
          </w14:textFill>
        </w:rPr>
        <w:t>甲方</w:t>
      </w:r>
      <w:r>
        <w:rPr>
          <w:rFonts w:hint="eastAsia" w:ascii="仿宋" w:hAnsi="仿宋" w:eastAsia="仿宋" w:cs="仿宋"/>
          <w:bCs/>
          <w:color w:val="000000" w:themeColor="text1"/>
          <w:sz w:val="24"/>
          <w:highlight w:val="none"/>
          <w14:textFill>
            <w14:solidFill>
              <w14:schemeClr w14:val="tx1"/>
            </w14:solidFill>
          </w14:textFill>
        </w:rPr>
        <w:t>收到</w:t>
      </w:r>
      <w:r>
        <w:rPr>
          <w:rFonts w:hint="eastAsia" w:ascii="仿宋" w:hAnsi="仿宋" w:eastAsia="仿宋" w:cs="仿宋"/>
          <w:bCs/>
          <w:color w:val="000000" w:themeColor="text1"/>
          <w:sz w:val="24"/>
          <w:highlight w:val="none"/>
          <w:lang w:val="en-US" w:eastAsia="zh-CN"/>
          <w14:textFill>
            <w14:solidFill>
              <w14:schemeClr w14:val="tx1"/>
            </w14:solidFill>
          </w14:textFill>
        </w:rPr>
        <w:t>乙方按甲方的要求</w:t>
      </w:r>
      <w:r>
        <w:rPr>
          <w:rFonts w:hint="eastAsia" w:ascii="仿宋" w:hAnsi="仿宋" w:eastAsia="仿宋" w:cs="仿宋"/>
          <w:bCs/>
          <w:color w:val="000000" w:themeColor="text1"/>
          <w:sz w:val="24"/>
          <w:highlight w:val="none"/>
          <w14:textFill>
            <w14:solidFill>
              <w14:schemeClr w14:val="tx1"/>
            </w14:solidFill>
          </w14:textFill>
        </w:rPr>
        <w:t>提供发票后15个工作日内，</w:t>
      </w:r>
      <w:r>
        <w:rPr>
          <w:rFonts w:hint="eastAsia" w:ascii="仿宋" w:hAnsi="仿宋" w:eastAsia="仿宋" w:cs="仿宋"/>
          <w:bCs/>
          <w:color w:val="000000" w:themeColor="text1"/>
          <w:sz w:val="24"/>
          <w:highlight w:val="none"/>
          <w:lang w:val="en-US" w:eastAsia="zh-CN"/>
          <w14:textFill>
            <w14:solidFill>
              <w14:schemeClr w14:val="tx1"/>
            </w14:solidFill>
          </w14:textFill>
        </w:rPr>
        <w:t>甲方</w:t>
      </w:r>
      <w:r>
        <w:rPr>
          <w:rFonts w:hint="eastAsia" w:ascii="仿宋" w:hAnsi="仿宋" w:eastAsia="仿宋" w:cs="仿宋"/>
          <w:bCs/>
          <w:color w:val="000000" w:themeColor="text1"/>
          <w:sz w:val="24"/>
          <w:highlight w:val="none"/>
          <w14:textFill>
            <w14:solidFill>
              <w14:schemeClr w14:val="tx1"/>
            </w14:solidFill>
          </w14:textFill>
        </w:rPr>
        <w:t>以银行转账方式向</w:t>
      </w:r>
      <w:r>
        <w:rPr>
          <w:rFonts w:hint="eastAsia" w:ascii="仿宋" w:hAnsi="仿宋" w:eastAsia="仿宋" w:cs="仿宋"/>
          <w:bCs/>
          <w:color w:val="000000" w:themeColor="text1"/>
          <w:sz w:val="24"/>
          <w:highlight w:val="none"/>
          <w:lang w:val="en-US" w:eastAsia="zh-CN"/>
          <w14:textFill>
            <w14:solidFill>
              <w14:schemeClr w14:val="tx1"/>
            </w14:solidFill>
          </w14:textFill>
        </w:rPr>
        <w:t>乙方</w:t>
      </w:r>
      <w:r>
        <w:rPr>
          <w:rFonts w:hint="eastAsia" w:ascii="仿宋" w:hAnsi="仿宋" w:eastAsia="仿宋" w:cs="仿宋"/>
          <w:bCs/>
          <w:color w:val="000000" w:themeColor="text1"/>
          <w:sz w:val="24"/>
          <w:highlight w:val="none"/>
          <w14:textFill>
            <w14:solidFill>
              <w14:schemeClr w14:val="tx1"/>
            </w14:solidFill>
          </w14:textFill>
        </w:rPr>
        <w:t>一次性支付该项目</w:t>
      </w:r>
      <w:r>
        <w:rPr>
          <w:rFonts w:hint="eastAsia" w:ascii="仿宋" w:hAnsi="仿宋" w:eastAsia="仿宋" w:cs="仿宋"/>
          <w:bCs/>
          <w:color w:val="000000" w:themeColor="text1"/>
          <w:sz w:val="24"/>
          <w:highlight w:val="none"/>
          <w:lang w:val="en-US" w:eastAsia="zh-CN"/>
          <w14:textFill>
            <w14:solidFill>
              <w14:schemeClr w14:val="tx1"/>
            </w14:solidFill>
          </w14:textFill>
        </w:rPr>
        <w:t>费用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11053CEF">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三</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支付方式：甲方以银行转账方式向乙方支付费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82B09B0">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四</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乙方开户银行详细资料如下：</w:t>
      </w:r>
    </w:p>
    <w:p w14:paraId="41FA1D77">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开户名：</w:t>
      </w:r>
      <w:r>
        <w:rPr>
          <w:rFonts w:hint="eastAsia" w:ascii="仿宋" w:hAnsi="仿宋" w:eastAsia="仿宋" w:cs="仿宋"/>
          <w:color w:val="000000" w:themeColor="text1"/>
          <w:spacing w:val="6"/>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p>
    <w:p w14:paraId="67643E84">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u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开户行：</w:t>
      </w:r>
      <w:r>
        <w:rPr>
          <w:rFonts w:hint="eastAsia" w:ascii="仿宋" w:hAnsi="仿宋" w:eastAsia="仿宋" w:cs="仿宋"/>
          <w:color w:val="000000" w:themeColor="text1"/>
          <w:spacing w:val="6"/>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w:t>
      </w:r>
    </w:p>
    <w:p w14:paraId="3D3932C7">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u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开户银行账号：</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none"/>
          <w14:textFill>
            <w14:solidFill>
              <w14:schemeClr w14:val="tx1"/>
            </w14:solidFill>
          </w14:textFill>
        </w:rPr>
        <w:t xml:space="preserve"> </w:t>
      </w:r>
    </w:p>
    <w:p w14:paraId="2C3247AD">
      <w:pPr>
        <w:keepNext w:val="0"/>
        <w:keepLines w:val="0"/>
        <w:pageBreakBefore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七</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违约责任</w:t>
      </w:r>
    </w:p>
    <w:p w14:paraId="72225B86">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本合同在甲乙双方责任义务履行完毕后终止。在</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双方</w:t>
      </w:r>
      <w:r>
        <w:rPr>
          <w:rFonts w:hint="eastAsia" w:ascii="仿宋" w:hAnsi="仿宋" w:eastAsia="仿宋" w:cs="仿宋"/>
          <w:color w:val="000000" w:themeColor="text1"/>
          <w:spacing w:val="6"/>
          <w:sz w:val="24"/>
          <w:szCs w:val="24"/>
          <w:highlight w:val="none"/>
          <w14:textFill>
            <w14:solidFill>
              <w14:schemeClr w14:val="tx1"/>
            </w14:solidFill>
          </w14:textFill>
        </w:rPr>
        <w:t>责任义务未履行完毕前，如乙方单方终止合同</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的，则乙方</w:t>
      </w:r>
      <w:r>
        <w:rPr>
          <w:rFonts w:hint="eastAsia" w:ascii="仿宋" w:hAnsi="仿宋" w:eastAsia="仿宋" w:cs="仿宋"/>
          <w:color w:val="000000" w:themeColor="text1"/>
          <w:spacing w:val="6"/>
          <w:sz w:val="24"/>
          <w:szCs w:val="24"/>
          <w:highlight w:val="none"/>
          <w14:textFill>
            <w14:solidFill>
              <w14:schemeClr w14:val="tx1"/>
            </w14:solidFill>
          </w14:textFill>
        </w:rPr>
        <w:t>应</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承担期间所产生的一切</w:t>
      </w:r>
      <w:r>
        <w:rPr>
          <w:rFonts w:hint="eastAsia" w:ascii="仿宋" w:hAnsi="仿宋" w:eastAsia="仿宋" w:cs="仿宋"/>
          <w:color w:val="000000" w:themeColor="text1"/>
          <w:spacing w:val="6"/>
          <w:sz w:val="24"/>
          <w:szCs w:val="24"/>
          <w:highlight w:val="none"/>
          <w14:textFill>
            <w14:solidFill>
              <w14:schemeClr w14:val="tx1"/>
            </w14:solidFill>
          </w14:textFill>
        </w:rPr>
        <w:t>费用，</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甲方无需向乙方支付因乙方单方终止合同的任何费用，甲方有权向乙方追偿因乙方单方面终止合同而产生的一切费用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1BABB3A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504" w:firstLineChars="200"/>
        <w:jc w:val="left"/>
        <w:textAlignment w:val="auto"/>
        <w:rPr>
          <w:rFonts w:hint="eastAsia" w:ascii="仿宋" w:hAnsi="仿宋" w:eastAsia="仿宋" w:cs="仿宋"/>
          <w:b w:val="0"/>
          <w:bCs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八、</w:t>
      </w:r>
      <w:r>
        <w:rPr>
          <w:rFonts w:hint="eastAsia" w:ascii="仿宋" w:hAnsi="仿宋" w:eastAsia="仿宋" w:cs="仿宋"/>
          <w:b w:val="0"/>
          <w:color w:val="000000" w:themeColor="text1"/>
          <w:spacing w:val="6"/>
          <w:sz w:val="24"/>
          <w:szCs w:val="24"/>
          <w:highlight w:val="none"/>
          <w14:textFill>
            <w14:solidFill>
              <w14:schemeClr w14:val="tx1"/>
            </w14:solidFill>
          </w14:textFill>
        </w:rPr>
        <w:t>廉洁条款</w:t>
      </w:r>
    </w:p>
    <w:p w14:paraId="42E3B983">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一</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甲、乙双方应当自觉遵守国家、地方法律法规以及本</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的约定，在</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的订立、履行过程中廉洁自律。</w:t>
      </w:r>
    </w:p>
    <w:p w14:paraId="079DC8DA">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二</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甲方及其工作人员均不得以任何形式向乙方索要和收受回扣等好处费。</w:t>
      </w:r>
    </w:p>
    <w:p w14:paraId="0B774B4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三</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甲方工作人员应当保持与乙方的正常业务交往，不得接受乙方的礼金、有价证券和贵重物品，不得在乙方报销任何应由其个人承担的费用。</w:t>
      </w:r>
    </w:p>
    <w:p w14:paraId="1373013B">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四</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甲方工作人员不得参加可能对公正开展业务有影响的宴请和娱乐活动。</w:t>
      </w:r>
    </w:p>
    <w:p w14:paraId="594F988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五</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甲方工作人员不得要求或者接受乙方为其住房装修、婚丧嫁娶、家属和子女的工作安排以及出国等提供方便。</w:t>
      </w:r>
    </w:p>
    <w:p w14:paraId="7F0D0D6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六</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乙方不得接受甲方工作人员介绍的家属或者亲友从事与</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相关的业务。</w:t>
      </w:r>
    </w:p>
    <w:p w14:paraId="78670E5B">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七</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7668267">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八</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乙方如发现甲方工作人员有违反上述廉洁条款者，应向甲方举报。甲方不得找任何借口对乙方进行报复。</w:t>
      </w:r>
    </w:p>
    <w:p w14:paraId="60F5B76F">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九</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甲方发现乙方有违反本</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或者采用不正当的手段行贿甲方工作人员等不正当竞争行为的，甲方有权解除本</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并追究乙方相关的法律责任。</w:t>
      </w:r>
    </w:p>
    <w:p w14:paraId="736BBE30">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九、通知与送达</w:t>
      </w:r>
    </w:p>
    <w:p w14:paraId="6F77760C">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1A100CE8">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1.甲方的联系方式：</w:t>
      </w:r>
    </w:p>
    <w:p w14:paraId="69F0973D">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（1）通讯地址：</w:t>
      </w:r>
    </w:p>
    <w:p w14:paraId="73ACAF35">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（2）收件人：</w:t>
      </w:r>
    </w:p>
    <w:p w14:paraId="46FE65A6">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（3）联系电话：</w:t>
      </w:r>
    </w:p>
    <w:p w14:paraId="01C7AA6C">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（4）电子邮箱：</w:t>
      </w:r>
    </w:p>
    <w:p w14:paraId="40605813">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2.乙方的联系方式：</w:t>
      </w:r>
    </w:p>
    <w:p w14:paraId="1A61939F">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（1）通讯地址：</w:t>
      </w:r>
    </w:p>
    <w:p w14:paraId="237E2FED">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（2）收件人：</w:t>
      </w:r>
    </w:p>
    <w:p w14:paraId="5A0A3A5A">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（3）联系电话：</w:t>
      </w:r>
    </w:p>
    <w:p w14:paraId="4E8B3890">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（4）电子邮箱：</w:t>
      </w:r>
    </w:p>
    <w:p w14:paraId="30CC4F9D">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49C0E95B">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（三）同时选择多种通知方式的，以其中较快送达者为准。就同一事项，一方对另一方发出一份以上通知且通知内容不同的，除非在通知中另有明确说明，以通知发出时间在后的为准。</w:t>
      </w:r>
    </w:p>
    <w:p w14:paraId="14F9B136">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6752A5C8">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十、项目阶段工作及时间节点</w:t>
      </w:r>
    </w:p>
    <w:p w14:paraId="469E4470">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详见合同附件《项目阶段工作及时间节点分解表》。</w:t>
      </w:r>
    </w:p>
    <w:p w14:paraId="5040EFDB">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十一</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、其他约定</w:t>
      </w:r>
    </w:p>
    <w:p w14:paraId="263F6E53">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（一）本合同执行过程中</w:t>
      </w:r>
      <w:r>
        <w:rPr>
          <w:rFonts w:hint="eastAsia" w:ascii="仿宋" w:hAnsi="仿宋" w:eastAsia="仿宋" w:cs="仿宋"/>
          <w:color w:val="000000" w:themeColor="text1"/>
          <w:spacing w:val="6"/>
          <w:sz w:val="24"/>
          <w:szCs w:val="24"/>
          <w:highlight w:val="none"/>
          <w14:textFill>
            <w14:solidFill>
              <w14:schemeClr w14:val="tx1"/>
            </w14:solidFill>
          </w14:textFill>
        </w:rPr>
        <w:t>如</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因</w:t>
      </w:r>
      <w:r>
        <w:rPr>
          <w:rFonts w:hint="eastAsia" w:ascii="仿宋" w:hAnsi="仿宋" w:eastAsia="仿宋" w:cs="仿宋"/>
          <w:color w:val="000000" w:themeColor="text1"/>
          <w:spacing w:val="6"/>
          <w:sz w:val="24"/>
          <w:szCs w:val="24"/>
          <w:highlight w:val="none"/>
          <w14:textFill>
            <w14:solidFill>
              <w14:schemeClr w14:val="tx1"/>
            </w14:solidFill>
          </w14:textFill>
        </w:rPr>
        <w:t>不可抗力</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因素</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导致</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须</w:t>
      </w:r>
      <w:r>
        <w:rPr>
          <w:rFonts w:hint="eastAsia" w:ascii="仿宋" w:hAnsi="仿宋" w:eastAsia="仿宋" w:cs="仿宋"/>
          <w:color w:val="000000" w:themeColor="text1"/>
          <w:spacing w:val="6"/>
          <w:sz w:val="24"/>
          <w:szCs w:val="24"/>
          <w:highlight w:val="none"/>
          <w14:textFill>
            <w14:solidFill>
              <w14:schemeClr w14:val="tx1"/>
            </w14:solidFill>
          </w14:textFill>
        </w:rPr>
        <w:t>延期</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完成</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的，由甲乙双方重新商定时间，乙方</w:t>
      </w:r>
      <w:r>
        <w:rPr>
          <w:rFonts w:hint="eastAsia" w:ascii="仿宋" w:hAnsi="仿宋" w:eastAsia="仿宋" w:cs="仿宋"/>
          <w:color w:val="000000" w:themeColor="text1"/>
          <w:spacing w:val="6"/>
          <w:sz w:val="24"/>
          <w:szCs w:val="24"/>
          <w:highlight w:val="none"/>
          <w14:textFill>
            <w14:solidFill>
              <w14:schemeClr w14:val="tx1"/>
            </w14:solidFill>
          </w14:textFill>
        </w:rPr>
        <w:t>不</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得</w:t>
      </w:r>
      <w:r>
        <w:rPr>
          <w:rFonts w:hint="eastAsia" w:ascii="仿宋" w:hAnsi="仿宋" w:eastAsia="仿宋" w:cs="仿宋"/>
          <w:color w:val="000000" w:themeColor="text1"/>
          <w:spacing w:val="6"/>
          <w:sz w:val="24"/>
          <w:szCs w:val="24"/>
          <w:highlight w:val="none"/>
          <w14:textFill>
            <w14:solidFill>
              <w14:schemeClr w14:val="tx1"/>
            </w14:solidFill>
          </w14:textFill>
        </w:rPr>
        <w:t>另行增加费用</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p>
    <w:p w14:paraId="32138C37">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（二）</w:t>
      </w:r>
      <w:r>
        <w:rPr>
          <w:rFonts w:hint="eastAsia" w:ascii="仿宋" w:hAnsi="仿宋" w:eastAsia="仿宋" w:cs="仿宋"/>
          <w:bCs w:val="0"/>
          <w:color w:val="000000" w:themeColor="text1"/>
          <w:spacing w:val="6"/>
          <w:sz w:val="24"/>
          <w:szCs w:val="24"/>
          <w:highlight w:val="none"/>
          <w14:textFill>
            <w14:solidFill>
              <w14:schemeClr w14:val="tx1"/>
            </w14:solidFill>
          </w14:textFill>
        </w:rPr>
        <w:t>本合同执行过程中发生争议的，甲乙双方应友好协商解决，协商不成的，任何一方均可向中山市有管辖权的人民法院提起诉讼。</w:t>
      </w:r>
    </w:p>
    <w:p w14:paraId="4B39D395">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（三）</w:t>
      </w:r>
      <w:r>
        <w:rPr>
          <w:rFonts w:hint="eastAsia" w:ascii="仿宋" w:hAnsi="仿宋" w:eastAsia="仿宋" w:cs="仿宋"/>
          <w:color w:val="000000" w:themeColor="text1"/>
          <w:spacing w:val="6"/>
          <w:sz w:val="24"/>
          <w:szCs w:val="24"/>
          <w:highlight w:val="none"/>
          <w14:textFill>
            <w14:solidFill>
              <w14:schemeClr w14:val="tx1"/>
            </w14:solidFill>
          </w14:textFill>
        </w:rPr>
        <w:t>本合同自双方代表签</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名</w:t>
      </w:r>
      <w:r>
        <w:rPr>
          <w:rFonts w:hint="eastAsia" w:ascii="仿宋" w:hAnsi="仿宋" w:eastAsia="仿宋" w:cs="仿宋"/>
          <w:color w:val="000000" w:themeColor="text1"/>
          <w:spacing w:val="6"/>
          <w:sz w:val="24"/>
          <w:szCs w:val="24"/>
          <w:highlight w:val="none"/>
          <w14:textFill>
            <w14:solidFill>
              <w14:schemeClr w14:val="tx1"/>
            </w14:solidFill>
          </w14:textFill>
        </w:rPr>
        <w:t>盖章之日起生效，至</w:t>
      </w:r>
      <w:r>
        <w:rPr>
          <w:rFonts w:hint="eastAsia" w:ascii="仿宋" w:hAnsi="仿宋" w:eastAsia="仿宋" w:cs="仿宋"/>
          <w:color w:val="000000" w:themeColor="text1"/>
          <w:spacing w:val="6"/>
          <w:sz w:val="24"/>
          <w:szCs w:val="24"/>
          <w:highlight w:val="none"/>
          <w:u w:val="none"/>
          <w:lang w:val="en-US" w:eastAsia="zh-CN"/>
          <w14:textFill>
            <w14:solidFill>
              <w14:schemeClr w14:val="tx1"/>
            </w14:solidFill>
          </w14:textFill>
        </w:rPr>
        <w:t>本项目履行期间结束</w:t>
      </w:r>
      <w:r>
        <w:rPr>
          <w:rFonts w:hint="eastAsia" w:ascii="仿宋" w:hAnsi="仿宋" w:eastAsia="仿宋" w:cs="仿宋"/>
          <w:color w:val="000000" w:themeColor="text1"/>
          <w:spacing w:val="6"/>
          <w:sz w:val="24"/>
          <w:szCs w:val="24"/>
          <w:highlight w:val="none"/>
          <w14:textFill>
            <w14:solidFill>
              <w14:schemeClr w14:val="tx1"/>
            </w14:solidFill>
          </w14:textFill>
        </w:rPr>
        <w:t>止。</w:t>
      </w:r>
    </w:p>
    <w:p w14:paraId="5DD0CACC">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（四）</w:t>
      </w:r>
      <w:r>
        <w:rPr>
          <w:rFonts w:hint="eastAsia" w:ascii="仿宋" w:hAnsi="仿宋" w:eastAsia="仿宋" w:cs="仿宋"/>
          <w:color w:val="000000" w:themeColor="text1"/>
          <w:spacing w:val="6"/>
          <w:sz w:val="24"/>
          <w:szCs w:val="24"/>
          <w:highlight w:val="none"/>
          <w14:textFill>
            <w14:solidFill>
              <w14:schemeClr w14:val="tx1"/>
            </w14:solidFill>
          </w14:textFill>
        </w:rPr>
        <w:t>本合同一式</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四</w:t>
      </w:r>
      <w:r>
        <w:rPr>
          <w:rFonts w:hint="eastAsia" w:ascii="仿宋" w:hAnsi="仿宋" w:eastAsia="仿宋" w:cs="仿宋"/>
          <w:color w:val="000000" w:themeColor="text1"/>
          <w:spacing w:val="6"/>
          <w:sz w:val="24"/>
          <w:szCs w:val="24"/>
          <w:highlight w:val="none"/>
          <w14:textFill>
            <w14:solidFill>
              <w14:schemeClr w14:val="tx1"/>
            </w14:solidFill>
          </w14:textFill>
        </w:rPr>
        <w:t>份，双方各执</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两</w:t>
      </w:r>
      <w:r>
        <w:rPr>
          <w:rFonts w:hint="eastAsia" w:ascii="仿宋" w:hAnsi="仿宋" w:eastAsia="仿宋" w:cs="仿宋"/>
          <w:color w:val="000000" w:themeColor="text1"/>
          <w:spacing w:val="6"/>
          <w:sz w:val="24"/>
          <w:szCs w:val="24"/>
          <w:highlight w:val="none"/>
          <w14:textFill>
            <w14:solidFill>
              <w14:schemeClr w14:val="tx1"/>
            </w14:solidFill>
          </w14:textFill>
        </w:rPr>
        <w:t>份，均</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具有</w:t>
      </w:r>
      <w:r>
        <w:rPr>
          <w:rFonts w:hint="eastAsia" w:ascii="仿宋" w:hAnsi="仿宋" w:eastAsia="仿宋" w:cs="仿宋"/>
          <w:color w:val="000000" w:themeColor="text1"/>
          <w:spacing w:val="6"/>
          <w:sz w:val="24"/>
          <w:szCs w:val="24"/>
          <w:highlight w:val="none"/>
          <w14:textFill>
            <w14:solidFill>
              <w14:schemeClr w14:val="tx1"/>
            </w14:solidFill>
          </w14:textFill>
        </w:rPr>
        <w:t>同等法律效力。</w:t>
      </w:r>
    </w:p>
    <w:p w14:paraId="0001800F">
      <w:pPr>
        <w:pStyle w:val="2"/>
        <w:ind w:left="0" w:leftChars="0" w:firstLine="0" w:firstLineChars="0"/>
        <w:rPr>
          <w:rFonts w:hint="eastAsia" w:ascii="仿宋" w:hAnsi="仿宋" w:eastAsia="仿宋" w:cs="仿宋"/>
          <w:b/>
          <w:color w:val="000000" w:themeColor="text1"/>
          <w:spacing w:val="-8"/>
          <w:sz w:val="24"/>
          <w:szCs w:val="24"/>
          <w:highlight w:val="none"/>
          <w14:textFill>
            <w14:solidFill>
              <w14:schemeClr w14:val="tx1"/>
            </w14:solidFill>
          </w14:textFill>
        </w:rPr>
      </w:pPr>
    </w:p>
    <w:p w14:paraId="6A219CC1">
      <w:pPr>
        <w:pStyle w:val="2"/>
        <w:ind w:left="0" w:leftChars="0" w:firstLine="0" w:firstLineChars="0"/>
        <w:rPr>
          <w:rFonts w:hint="default" w:ascii="仿宋" w:hAnsi="仿宋" w:eastAsia="仿宋" w:cs="仿宋"/>
          <w:b/>
          <w:color w:val="000000" w:themeColor="text1"/>
          <w:spacing w:val="-8"/>
          <w:sz w:val="24"/>
          <w:szCs w:val="24"/>
          <w:highlight w:val="none"/>
          <w:lang w:val="en-US" w:eastAsia="zh-CN"/>
          <w14:textFill>
            <w14:solidFill>
              <w14:schemeClr w14:val="tx1"/>
            </w14:solidFill>
          </w14:textFill>
        </w:rPr>
      </w:pPr>
      <w:r>
        <w:rPr>
          <w:rFonts w:hint="eastAsia" w:ascii="仿宋" w:hAnsi="仿宋" w:eastAsia="仿宋" w:cs="仿宋"/>
          <w:b/>
          <w:color w:val="000000" w:themeColor="text1"/>
          <w:spacing w:val="-8"/>
          <w:sz w:val="24"/>
          <w:szCs w:val="24"/>
          <w:highlight w:val="none"/>
          <w:lang w:val="en-US" w:eastAsia="zh-CN"/>
          <w14:textFill>
            <w14:solidFill>
              <w14:schemeClr w14:val="tx1"/>
            </w14:solidFill>
          </w14:textFill>
        </w:rPr>
        <w:t>附件：</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项目阶段工作及时间节点分解表</w:t>
      </w:r>
    </w:p>
    <w:p w14:paraId="5FA32771">
      <w:pPr>
        <w:numPr>
          <w:ilvl w:val="0"/>
          <w:numId w:val="0"/>
        </w:numPr>
        <w:spacing w:line="460" w:lineRule="exact"/>
        <w:ind w:left="0" w:firstLine="504" w:firstLineChars="2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219CC45D">
      <w:pPr>
        <w:numPr>
          <w:ilvl w:val="0"/>
          <w:numId w:val="0"/>
        </w:numPr>
        <w:spacing w:line="460" w:lineRule="exact"/>
        <w:ind w:left="0" w:firstLine="504" w:firstLineChars="2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468219E6">
      <w:pPr>
        <w:numPr>
          <w:ilvl w:val="0"/>
          <w:numId w:val="0"/>
        </w:numPr>
        <w:spacing w:line="460" w:lineRule="exact"/>
        <w:ind w:left="0" w:firstLine="504" w:firstLineChars="2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（以下无正文）</w:t>
      </w:r>
    </w:p>
    <w:p w14:paraId="610E3A27">
      <w:pPr>
        <w:spacing w:line="0" w:lineRule="atLeast"/>
        <w:rPr>
          <w:rFonts w:hint="eastAsia" w:ascii="仿宋" w:hAnsi="仿宋" w:eastAsia="仿宋" w:cs="仿宋"/>
          <w:b/>
          <w:color w:val="000000" w:themeColor="text1"/>
          <w:spacing w:val="-8"/>
          <w:sz w:val="24"/>
          <w:szCs w:val="24"/>
          <w:highlight w:val="none"/>
          <w14:textFill>
            <w14:solidFill>
              <w14:schemeClr w14:val="tx1"/>
            </w14:solidFill>
          </w14:textFill>
        </w:rPr>
      </w:pPr>
    </w:p>
    <w:p w14:paraId="75DD8080">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甲方（</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签</w:t>
      </w:r>
      <w:r>
        <w:rPr>
          <w:rFonts w:hint="eastAsia" w:ascii="仿宋" w:hAnsi="仿宋" w:eastAsia="仿宋" w:cs="仿宋"/>
          <w:b w:val="0"/>
          <w:color w:val="000000" w:themeColor="text1"/>
          <w:spacing w:val="6"/>
          <w:sz w:val="24"/>
          <w:szCs w:val="24"/>
          <w:highlight w:val="none"/>
          <w14:textFill>
            <w14:solidFill>
              <w14:schemeClr w14:val="tx1"/>
            </w14:solidFill>
          </w14:textFill>
        </w:rPr>
        <w:t>章）：</w:t>
      </w:r>
      <w:r>
        <w:rPr>
          <w:rFonts w:hint="eastAsia" w:ascii="仿宋" w:hAnsi="仿宋" w:eastAsia="仿宋" w:cs="仿宋"/>
          <w:b w:val="0"/>
          <w:bCs w:val="0"/>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b w:val="0"/>
          <w:bCs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乙方（</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签</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章）：                  </w:t>
      </w:r>
    </w:p>
    <w:p w14:paraId="03AF5114">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法定代表人或</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授权</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代表：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法定代表人或</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授权</w:t>
      </w:r>
      <w:r>
        <w:rPr>
          <w:rFonts w:hint="eastAsia" w:ascii="仿宋" w:hAnsi="仿宋" w:eastAsia="仿宋" w:cs="仿宋"/>
          <w:b w:val="0"/>
          <w:color w:val="000000" w:themeColor="text1"/>
          <w:spacing w:val="6"/>
          <w:sz w:val="24"/>
          <w:szCs w:val="24"/>
          <w:highlight w:val="none"/>
          <w14:textFill>
            <w14:solidFill>
              <w14:schemeClr w14:val="tx1"/>
            </w14:solidFill>
          </w14:textFill>
        </w:rPr>
        <w:t>代表：</w:t>
      </w:r>
    </w:p>
    <w:p w14:paraId="7D8EF85D">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签订日期：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年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月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日</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签订日期：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年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月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日</w:t>
      </w:r>
    </w:p>
    <w:p w14:paraId="4E78983B">
      <w:pPr>
        <w:pStyle w:val="4"/>
        <w:spacing w:before="100" w:after="100" w:line="360" w:lineRule="auto"/>
        <w:rPr>
          <w:rFonts w:hint="eastAsia" w:ascii="宋体" w:hAnsi="宋体"/>
          <w:color w:val="000000" w:themeColor="text1"/>
          <w:sz w:val="28"/>
          <w:szCs w:val="28"/>
          <w:lang w:val="en-US" w:eastAsia="zh-CN"/>
          <w14:textFill>
            <w14:solidFill>
              <w14:schemeClr w14:val="tx1"/>
            </w14:solidFill>
          </w14:textFill>
        </w:rPr>
      </w:pPr>
    </w:p>
    <w:p w14:paraId="10154334">
      <w:pPr>
        <w:spacing w:line="560" w:lineRule="exact"/>
        <w:jc w:val="cente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3F5BF24F">
      <w:pPr>
        <w:pStyle w:val="32"/>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2AC609DC">
      <w:pP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66BF854E">
      <w:pPr>
        <w:pStyle w:val="32"/>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2138D35B">
      <w:pP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3F6EFCEB">
      <w:pPr>
        <w:pStyle w:val="32"/>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611D6034">
      <w:pP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06C6DD37">
      <w:pPr>
        <w:rPr>
          <w:rFonts w:hint="default" w:ascii="宋体" w:hAnsi="宋体" w:cs="宋体" w:eastAsiaTheme="minorEastAsia"/>
          <w:b/>
          <w:color w:val="000000" w:themeColor="text1"/>
          <w:sz w:val="40"/>
          <w:szCs w:val="40"/>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738D6CE">
      <w:pPr>
        <w:pStyle w:val="32"/>
        <w:rPr>
          <w:rFonts w:hint="default" w:ascii="黑体" w:hAnsi="黑体" w:eastAsia="黑体" w:cs="黑体"/>
          <w:b w:val="0"/>
          <w:color w:val="auto"/>
          <w:spacing w:val="6"/>
          <w:sz w:val="28"/>
          <w:szCs w:val="28"/>
          <w:highlight w:val="none"/>
          <w:lang w:val="en-US" w:eastAsia="zh-CN"/>
        </w:rPr>
      </w:pPr>
      <w:r>
        <w:rPr>
          <w:rFonts w:hint="eastAsia" w:ascii="黑体" w:hAnsi="黑体" w:eastAsia="黑体" w:cs="黑体"/>
          <w:sz w:val="28"/>
          <w:szCs w:val="28"/>
          <w:lang w:val="en-US" w:eastAsia="zh-CN"/>
        </w:rPr>
        <w:t>附件：</w:t>
      </w:r>
      <w:r>
        <w:rPr>
          <w:rFonts w:hint="eastAsia" w:ascii="黑体" w:hAnsi="黑体" w:eastAsia="黑体" w:cs="黑体"/>
          <w:b w:val="0"/>
          <w:color w:val="auto"/>
          <w:spacing w:val="6"/>
          <w:sz w:val="28"/>
          <w:szCs w:val="28"/>
          <w:highlight w:val="none"/>
          <w:lang w:val="en-US" w:eastAsia="zh-CN"/>
        </w:rPr>
        <w:t>项目阶段工作及时间节点分解表</w:t>
      </w:r>
    </w:p>
    <w:tbl>
      <w:tblPr>
        <w:tblStyle w:val="18"/>
        <w:tblW w:w="12977" w:type="dxa"/>
        <w:jc w:val="center"/>
        <w:tblLayout w:type="autofit"/>
        <w:tblCellMar>
          <w:top w:w="0" w:type="dxa"/>
          <w:left w:w="108" w:type="dxa"/>
          <w:bottom w:w="0" w:type="dxa"/>
          <w:right w:w="108" w:type="dxa"/>
        </w:tblCellMar>
      </w:tblPr>
      <w:tblGrid>
        <w:gridCol w:w="1264"/>
        <w:gridCol w:w="5414"/>
        <w:gridCol w:w="3146"/>
        <w:gridCol w:w="3153"/>
      </w:tblGrid>
      <w:tr w14:paraId="34474F2B">
        <w:tblPrEx>
          <w:tblCellMar>
            <w:top w:w="0" w:type="dxa"/>
            <w:left w:w="108" w:type="dxa"/>
            <w:bottom w:w="0" w:type="dxa"/>
            <w:right w:w="108" w:type="dxa"/>
          </w:tblCellMar>
        </w:tblPrEx>
        <w:trPr>
          <w:trHeight w:val="405" w:hRule="atLeast"/>
          <w:jc w:val="center"/>
        </w:trPr>
        <w:tc>
          <w:tcPr>
            <w:tcW w:w="126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3F11BEAE">
            <w:pPr>
              <w:widowControl/>
              <w:spacing w:line="240" w:lineRule="exact"/>
              <w:jc w:val="center"/>
              <w:rPr>
                <w:rFonts w:ascii="宋体" w:hAnsi="宋体" w:cs="宋体"/>
                <w:b/>
                <w:bCs/>
                <w:color w:val="282828"/>
                <w:kern w:val="0"/>
                <w:sz w:val="20"/>
              </w:rPr>
            </w:pPr>
            <w:r>
              <w:rPr>
                <w:rFonts w:hint="eastAsia" w:ascii="宋体" w:hAnsi="宋体" w:cs="宋体"/>
                <w:b/>
                <w:bCs/>
                <w:color w:val="282828"/>
                <w:kern w:val="0"/>
                <w:sz w:val="20"/>
              </w:rPr>
              <w:t>咨询模块</w:t>
            </w:r>
          </w:p>
        </w:tc>
        <w:tc>
          <w:tcPr>
            <w:tcW w:w="541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7FFDE671">
            <w:pPr>
              <w:widowControl/>
              <w:spacing w:line="240" w:lineRule="exact"/>
              <w:jc w:val="center"/>
              <w:rPr>
                <w:rFonts w:hint="eastAsia" w:ascii="宋体" w:hAnsi="宋体" w:cs="宋体"/>
                <w:b/>
                <w:bCs/>
                <w:color w:val="282828"/>
                <w:kern w:val="0"/>
                <w:sz w:val="20"/>
              </w:rPr>
            </w:pPr>
            <w:r>
              <w:rPr>
                <w:rFonts w:hint="eastAsia" w:ascii="宋体" w:hAnsi="宋体" w:cs="宋体"/>
                <w:b/>
                <w:bCs/>
                <w:color w:val="282828"/>
                <w:kern w:val="0"/>
                <w:sz w:val="20"/>
              </w:rPr>
              <w:t>主要工作内容</w:t>
            </w:r>
          </w:p>
        </w:tc>
        <w:tc>
          <w:tcPr>
            <w:tcW w:w="3146"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30363F28">
            <w:pPr>
              <w:widowControl/>
              <w:spacing w:line="240" w:lineRule="exact"/>
              <w:jc w:val="center"/>
              <w:rPr>
                <w:rFonts w:hint="eastAsia" w:ascii="宋体" w:hAnsi="宋体" w:cs="宋体"/>
                <w:b/>
                <w:bCs/>
                <w:color w:val="282828"/>
                <w:kern w:val="0"/>
                <w:sz w:val="20"/>
              </w:rPr>
            </w:pPr>
            <w:r>
              <w:rPr>
                <w:rFonts w:hint="eastAsia" w:ascii="宋体" w:hAnsi="宋体" w:cs="宋体"/>
                <w:b/>
                <w:bCs/>
                <w:color w:val="282828"/>
                <w:kern w:val="0"/>
                <w:sz w:val="20"/>
              </w:rPr>
              <w:t>项目成果</w:t>
            </w:r>
          </w:p>
        </w:tc>
        <w:tc>
          <w:tcPr>
            <w:tcW w:w="3153"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0B2B35C7">
            <w:pPr>
              <w:widowControl/>
              <w:spacing w:line="240" w:lineRule="exact"/>
              <w:jc w:val="center"/>
              <w:rPr>
                <w:rFonts w:hint="default" w:ascii="宋体" w:hAnsi="宋体" w:cs="宋体" w:eastAsiaTheme="minorEastAsia"/>
                <w:b/>
                <w:bCs/>
                <w:color w:val="282828"/>
                <w:kern w:val="0"/>
                <w:sz w:val="20"/>
                <w:lang w:val="en-US" w:eastAsia="zh-CN"/>
              </w:rPr>
            </w:pPr>
            <w:r>
              <w:rPr>
                <w:rFonts w:hint="eastAsia" w:ascii="宋体" w:hAnsi="宋体" w:cs="宋体"/>
                <w:b/>
                <w:bCs/>
                <w:color w:val="282828"/>
                <w:kern w:val="0"/>
                <w:sz w:val="20"/>
                <w:lang w:val="en-US" w:eastAsia="zh-CN"/>
              </w:rPr>
              <w:t>完成时间节点</w:t>
            </w:r>
          </w:p>
        </w:tc>
      </w:tr>
      <w:tr w14:paraId="606E107C">
        <w:tblPrEx>
          <w:tblCellMar>
            <w:top w:w="0" w:type="dxa"/>
            <w:left w:w="108" w:type="dxa"/>
            <w:bottom w:w="0" w:type="dxa"/>
            <w:right w:w="108" w:type="dxa"/>
          </w:tblCellMar>
        </w:tblPrEx>
        <w:trPr>
          <w:trHeight w:val="354" w:hRule="atLeast"/>
          <w:jc w:val="center"/>
        </w:trPr>
        <w:tc>
          <w:tcPr>
            <w:tcW w:w="1264" w:type="dxa"/>
            <w:tcBorders>
              <w:top w:val="nil"/>
              <w:left w:val="single" w:color="auto" w:sz="4" w:space="0"/>
              <w:bottom w:val="single" w:color="auto" w:sz="4" w:space="0"/>
              <w:right w:val="single" w:color="auto" w:sz="4" w:space="0"/>
            </w:tcBorders>
            <w:noWrap w:val="0"/>
            <w:vAlign w:val="center"/>
          </w:tcPr>
          <w:p w14:paraId="3B2EFBCD">
            <w:pPr>
              <w:widowControl/>
              <w:spacing w:line="240" w:lineRule="exact"/>
              <w:jc w:val="center"/>
              <w:rPr>
                <w:rFonts w:ascii="宋体" w:hAnsi="宋体" w:cs="宋体"/>
                <w:b/>
                <w:bCs/>
                <w:color w:val="282828"/>
                <w:kern w:val="0"/>
                <w:sz w:val="20"/>
              </w:rPr>
            </w:pPr>
            <w:r>
              <w:rPr>
                <w:rFonts w:hint="eastAsia" w:ascii="宋体" w:hAnsi="宋体" w:cs="宋体"/>
                <w:b/>
                <w:bCs/>
                <w:color w:val="282828"/>
                <w:kern w:val="0"/>
                <w:sz w:val="20"/>
              </w:rPr>
              <w:t>项目启动</w:t>
            </w:r>
          </w:p>
        </w:tc>
        <w:tc>
          <w:tcPr>
            <w:tcW w:w="5414" w:type="dxa"/>
            <w:tcBorders>
              <w:top w:val="nil"/>
              <w:left w:val="nil"/>
              <w:bottom w:val="single" w:color="auto" w:sz="4" w:space="0"/>
              <w:right w:val="single" w:color="auto" w:sz="4" w:space="0"/>
            </w:tcBorders>
            <w:noWrap w:val="0"/>
            <w:vAlign w:val="center"/>
          </w:tcPr>
          <w:p w14:paraId="71D41F1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资料收集与项目启动</w:t>
            </w:r>
          </w:p>
        </w:tc>
        <w:tc>
          <w:tcPr>
            <w:tcW w:w="3146" w:type="dxa"/>
            <w:tcBorders>
              <w:top w:val="nil"/>
              <w:left w:val="nil"/>
              <w:bottom w:val="single" w:color="auto" w:sz="4" w:space="0"/>
              <w:right w:val="single" w:color="auto" w:sz="4" w:space="0"/>
            </w:tcBorders>
            <w:noWrap w:val="0"/>
            <w:vAlign w:val="center"/>
          </w:tcPr>
          <w:p w14:paraId="380C0C2F">
            <w:pPr>
              <w:widowControl/>
              <w:spacing w:line="250" w:lineRule="exact"/>
              <w:jc w:val="left"/>
              <w:rPr>
                <w:rFonts w:hint="eastAsia" w:ascii="宋体" w:hAnsi="宋体" w:cs="宋体"/>
                <w:color w:val="000000"/>
                <w:kern w:val="0"/>
                <w:sz w:val="20"/>
              </w:rPr>
            </w:pPr>
            <w:r>
              <w:rPr>
                <w:rFonts w:hint="eastAsia" w:ascii="宋体" w:hAnsi="宋体" w:cs="宋体"/>
                <w:b/>
                <w:bCs/>
                <w:color w:val="000000"/>
                <w:kern w:val="0"/>
                <w:sz w:val="20"/>
              </w:rPr>
              <w:t>项目调研资料清单</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0704684">
            <w:pPr>
              <w:widowControl/>
              <w:spacing w:line="250" w:lineRule="exact"/>
              <w:jc w:val="left"/>
              <w:rPr>
                <w:rFonts w:eastAsia="Times New Roman"/>
                <w:kern w:val="0"/>
                <w:sz w:val="20"/>
              </w:rPr>
            </w:pPr>
          </w:p>
        </w:tc>
      </w:tr>
      <w:tr w14:paraId="49621049">
        <w:tblPrEx>
          <w:tblCellMar>
            <w:top w:w="0" w:type="dxa"/>
            <w:left w:w="108" w:type="dxa"/>
            <w:bottom w:w="0" w:type="dxa"/>
            <w:right w:w="108" w:type="dxa"/>
          </w:tblCellMar>
        </w:tblPrEx>
        <w:trPr>
          <w:trHeight w:val="223" w:hRule="atLeast"/>
          <w:jc w:val="center"/>
        </w:trPr>
        <w:tc>
          <w:tcPr>
            <w:tcW w:w="1264" w:type="dxa"/>
            <w:vMerge w:val="restart"/>
            <w:tcBorders>
              <w:top w:val="nil"/>
              <w:left w:val="single" w:color="auto" w:sz="4" w:space="0"/>
              <w:bottom w:val="single" w:color="auto" w:sz="4" w:space="0"/>
              <w:right w:val="single" w:color="auto" w:sz="4" w:space="0"/>
            </w:tcBorders>
            <w:noWrap w:val="0"/>
            <w:vAlign w:val="center"/>
          </w:tcPr>
          <w:p w14:paraId="22048E08">
            <w:pPr>
              <w:widowControl/>
              <w:spacing w:line="240" w:lineRule="exact"/>
              <w:jc w:val="center"/>
              <w:rPr>
                <w:rFonts w:hint="eastAsia" w:ascii="宋体" w:hAnsi="宋体" w:cs="宋体"/>
                <w:b/>
                <w:bCs/>
                <w:color w:val="282828"/>
                <w:kern w:val="0"/>
                <w:sz w:val="20"/>
              </w:rPr>
            </w:pPr>
            <w:r>
              <w:rPr>
                <w:rFonts w:hint="eastAsia" w:ascii="宋体" w:hAnsi="宋体" w:cs="宋体"/>
                <w:b/>
                <w:bCs/>
                <w:color w:val="282828"/>
                <w:kern w:val="0"/>
                <w:sz w:val="20"/>
              </w:rPr>
              <w:t>现状调研诊断</w:t>
            </w:r>
          </w:p>
        </w:tc>
        <w:tc>
          <w:tcPr>
            <w:tcW w:w="5414" w:type="dxa"/>
            <w:tcBorders>
              <w:top w:val="nil"/>
              <w:left w:val="nil"/>
              <w:bottom w:val="single" w:color="auto" w:sz="4" w:space="0"/>
              <w:right w:val="single" w:color="auto" w:sz="4" w:space="0"/>
            </w:tcBorders>
            <w:noWrap w:val="0"/>
            <w:vAlign w:val="center"/>
          </w:tcPr>
          <w:p w14:paraId="28179E71">
            <w:pPr>
              <w:widowControl/>
              <w:spacing w:line="250" w:lineRule="exact"/>
              <w:jc w:val="left"/>
              <w:rPr>
                <w:rFonts w:hint="eastAsia" w:ascii="宋体" w:hAnsi="宋体" w:cs="宋体"/>
                <w:kern w:val="0"/>
                <w:sz w:val="20"/>
              </w:rPr>
            </w:pPr>
            <w:r>
              <w:rPr>
                <w:rFonts w:hint="eastAsia" w:ascii="宋体" w:hAnsi="宋体" w:cs="宋体"/>
                <w:kern w:val="0"/>
                <w:sz w:val="20"/>
              </w:rPr>
              <w:t>公交集团对市场化板块企业组织管控、管理政策现状研究</w:t>
            </w:r>
          </w:p>
        </w:tc>
        <w:tc>
          <w:tcPr>
            <w:tcW w:w="3146" w:type="dxa"/>
            <w:vMerge w:val="restart"/>
            <w:tcBorders>
              <w:top w:val="nil"/>
              <w:left w:val="single" w:color="auto" w:sz="4" w:space="0"/>
              <w:bottom w:val="single" w:color="auto" w:sz="4" w:space="0"/>
              <w:right w:val="single" w:color="auto" w:sz="4" w:space="0"/>
            </w:tcBorders>
            <w:noWrap w:val="0"/>
            <w:vAlign w:val="center"/>
          </w:tcPr>
          <w:p w14:paraId="2259FEF0">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1</w:t>
            </w:r>
            <w:r>
              <w:rPr>
                <w:rFonts w:hint="eastAsia" w:ascii="宋体" w:hAnsi="宋体" w:cs="宋体"/>
                <w:b/>
                <w:bCs/>
                <w:color w:val="000000"/>
                <w:kern w:val="0"/>
                <w:sz w:val="20"/>
                <w:lang w:val="en-US" w:eastAsia="zh-CN"/>
              </w:rPr>
              <w:t>.</w:t>
            </w:r>
            <w:r>
              <w:rPr>
                <w:rFonts w:hint="eastAsia" w:ascii="宋体" w:hAnsi="宋体" w:cs="宋体"/>
                <w:b/>
                <w:bCs/>
                <w:color w:val="000000"/>
                <w:kern w:val="0"/>
                <w:sz w:val="20"/>
              </w:rPr>
              <w:t>《市场化板块子公司薪酬激励现状调研诊断和优化策略报告》</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8DA019B">
            <w:pPr>
              <w:widowControl/>
              <w:spacing w:line="250" w:lineRule="exact"/>
              <w:jc w:val="left"/>
              <w:rPr>
                <w:rFonts w:eastAsia="Times New Roman"/>
                <w:kern w:val="0"/>
                <w:sz w:val="20"/>
              </w:rPr>
            </w:pPr>
          </w:p>
        </w:tc>
      </w:tr>
      <w:tr w14:paraId="0AB5679F">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686B324C">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74D2B0A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市场化板块子公司战略、经营与HR现状分析、资料分析</w:t>
            </w:r>
          </w:p>
        </w:tc>
        <w:tc>
          <w:tcPr>
            <w:tcW w:w="3146" w:type="dxa"/>
            <w:vMerge w:val="continue"/>
            <w:tcBorders>
              <w:top w:val="nil"/>
              <w:left w:val="single" w:color="auto" w:sz="4" w:space="0"/>
              <w:bottom w:val="single" w:color="auto" w:sz="4" w:space="0"/>
              <w:right w:val="single" w:color="auto" w:sz="4" w:space="0"/>
            </w:tcBorders>
            <w:noWrap w:val="0"/>
            <w:vAlign w:val="center"/>
          </w:tcPr>
          <w:p w14:paraId="4F72BA32">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AE57664">
            <w:pPr>
              <w:widowControl/>
              <w:spacing w:line="250" w:lineRule="exact"/>
              <w:jc w:val="left"/>
              <w:rPr>
                <w:rFonts w:eastAsia="Times New Roman"/>
                <w:kern w:val="0"/>
                <w:sz w:val="20"/>
              </w:rPr>
            </w:pPr>
          </w:p>
        </w:tc>
      </w:tr>
      <w:tr w14:paraId="5D187D06">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1471D7C9">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75CDFD03">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市场化板块子公司所在行业人才激励标杆研究</w:t>
            </w:r>
          </w:p>
        </w:tc>
        <w:tc>
          <w:tcPr>
            <w:tcW w:w="3146" w:type="dxa"/>
            <w:vMerge w:val="continue"/>
            <w:tcBorders>
              <w:top w:val="nil"/>
              <w:left w:val="single" w:color="auto" w:sz="4" w:space="0"/>
              <w:bottom w:val="single" w:color="auto" w:sz="4" w:space="0"/>
              <w:right w:val="single" w:color="auto" w:sz="4" w:space="0"/>
            </w:tcBorders>
            <w:noWrap w:val="0"/>
            <w:vAlign w:val="center"/>
          </w:tcPr>
          <w:p w14:paraId="24F2A34C">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FC0B314">
            <w:pPr>
              <w:widowControl/>
              <w:spacing w:line="250" w:lineRule="exact"/>
              <w:jc w:val="left"/>
              <w:rPr>
                <w:rFonts w:eastAsia="Times New Roman"/>
                <w:kern w:val="0"/>
                <w:sz w:val="20"/>
              </w:rPr>
            </w:pPr>
          </w:p>
        </w:tc>
      </w:tr>
      <w:tr w14:paraId="1EDC56E2">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A81C39D">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71DC978A">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公交集团领导、中层和市场化板块子公司业务骨干调研访谈</w:t>
            </w:r>
          </w:p>
        </w:tc>
        <w:tc>
          <w:tcPr>
            <w:tcW w:w="3146" w:type="dxa"/>
            <w:vMerge w:val="continue"/>
            <w:tcBorders>
              <w:top w:val="nil"/>
              <w:left w:val="single" w:color="auto" w:sz="4" w:space="0"/>
              <w:bottom w:val="single" w:color="auto" w:sz="4" w:space="0"/>
              <w:right w:val="single" w:color="auto" w:sz="4" w:space="0"/>
            </w:tcBorders>
            <w:noWrap w:val="0"/>
            <w:vAlign w:val="center"/>
          </w:tcPr>
          <w:p w14:paraId="07DB50BE">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62DBA52D">
            <w:pPr>
              <w:widowControl/>
              <w:spacing w:line="250" w:lineRule="exact"/>
              <w:jc w:val="left"/>
              <w:rPr>
                <w:rFonts w:eastAsia="Times New Roman"/>
                <w:kern w:val="0"/>
                <w:sz w:val="20"/>
              </w:rPr>
            </w:pPr>
          </w:p>
        </w:tc>
      </w:tr>
      <w:tr w14:paraId="6226C5ED">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4268AF7">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065CBC9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市场化板块子公司薪酬激励现状调研诊断和优化策略报告</w:t>
            </w:r>
          </w:p>
        </w:tc>
        <w:tc>
          <w:tcPr>
            <w:tcW w:w="3146" w:type="dxa"/>
            <w:vMerge w:val="continue"/>
            <w:tcBorders>
              <w:top w:val="nil"/>
              <w:left w:val="single" w:color="auto" w:sz="4" w:space="0"/>
              <w:bottom w:val="single" w:color="auto" w:sz="4" w:space="0"/>
              <w:right w:val="single" w:color="auto" w:sz="4" w:space="0"/>
            </w:tcBorders>
            <w:noWrap w:val="0"/>
            <w:vAlign w:val="center"/>
          </w:tcPr>
          <w:p w14:paraId="0421A763">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650925D2">
            <w:pPr>
              <w:widowControl/>
              <w:spacing w:line="250" w:lineRule="exact"/>
              <w:jc w:val="left"/>
              <w:rPr>
                <w:rFonts w:eastAsia="Times New Roman"/>
                <w:kern w:val="0"/>
                <w:sz w:val="20"/>
              </w:rPr>
            </w:pPr>
          </w:p>
        </w:tc>
      </w:tr>
      <w:tr w14:paraId="63340B28">
        <w:tblPrEx>
          <w:tblCellMar>
            <w:top w:w="0" w:type="dxa"/>
            <w:left w:w="108" w:type="dxa"/>
            <w:bottom w:w="0" w:type="dxa"/>
            <w:right w:w="108" w:type="dxa"/>
          </w:tblCellMar>
        </w:tblPrEx>
        <w:trPr>
          <w:trHeight w:val="279" w:hRule="atLeast"/>
          <w:jc w:val="center"/>
        </w:trPr>
        <w:tc>
          <w:tcPr>
            <w:tcW w:w="1264" w:type="dxa"/>
            <w:vMerge w:val="restart"/>
            <w:tcBorders>
              <w:top w:val="nil"/>
              <w:left w:val="single" w:color="auto" w:sz="4" w:space="0"/>
              <w:bottom w:val="single" w:color="000000" w:sz="4" w:space="0"/>
              <w:right w:val="single" w:color="auto" w:sz="4" w:space="0"/>
            </w:tcBorders>
            <w:noWrap w:val="0"/>
            <w:vAlign w:val="center"/>
          </w:tcPr>
          <w:p w14:paraId="36ABF099">
            <w:pPr>
              <w:widowControl/>
              <w:spacing w:line="240" w:lineRule="exact"/>
              <w:jc w:val="center"/>
              <w:rPr>
                <w:rFonts w:hint="eastAsia" w:ascii="宋体" w:hAnsi="宋体" w:cs="宋体"/>
                <w:b/>
                <w:bCs/>
                <w:color w:val="000000"/>
                <w:kern w:val="0"/>
                <w:sz w:val="20"/>
              </w:rPr>
            </w:pPr>
            <w:r>
              <w:rPr>
                <w:rFonts w:hint="eastAsia" w:ascii="宋体" w:hAnsi="宋体" w:cs="宋体"/>
                <w:b/>
                <w:bCs/>
                <w:color w:val="000000"/>
                <w:kern w:val="0"/>
                <w:sz w:val="20"/>
              </w:rPr>
              <w:t>市场化板块子公司组织管控机制优化</w:t>
            </w:r>
          </w:p>
        </w:tc>
        <w:tc>
          <w:tcPr>
            <w:tcW w:w="5414" w:type="dxa"/>
            <w:tcBorders>
              <w:top w:val="nil"/>
              <w:left w:val="nil"/>
              <w:bottom w:val="single" w:color="auto" w:sz="4" w:space="0"/>
              <w:right w:val="single" w:color="auto" w:sz="4" w:space="0"/>
            </w:tcBorders>
            <w:noWrap w:val="0"/>
            <w:vAlign w:val="center"/>
          </w:tcPr>
          <w:p w14:paraId="2B219591">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公交集团与市场化板块子公司权责分工优化研讨、修订</w:t>
            </w:r>
          </w:p>
        </w:tc>
        <w:tc>
          <w:tcPr>
            <w:tcW w:w="3146" w:type="dxa"/>
            <w:vMerge w:val="restart"/>
            <w:tcBorders>
              <w:top w:val="nil"/>
              <w:left w:val="single" w:color="auto" w:sz="4" w:space="0"/>
              <w:bottom w:val="single" w:color="000000" w:sz="4" w:space="0"/>
              <w:right w:val="single" w:color="auto" w:sz="4" w:space="0"/>
            </w:tcBorders>
            <w:noWrap w:val="0"/>
            <w:vAlign w:val="center"/>
          </w:tcPr>
          <w:p w14:paraId="3A777C71">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2.不同子公司《重大事项权责清单》（一企一表）</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1C854AD">
            <w:pPr>
              <w:widowControl/>
              <w:spacing w:line="250" w:lineRule="exact"/>
              <w:jc w:val="left"/>
              <w:rPr>
                <w:rFonts w:eastAsia="Times New Roman"/>
                <w:kern w:val="0"/>
                <w:sz w:val="20"/>
              </w:rPr>
            </w:pPr>
          </w:p>
        </w:tc>
      </w:tr>
      <w:tr w14:paraId="16B246C8">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44C6880A">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2741E224">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市场化板块子公司《重大事项权责清单》设计、研讨</w:t>
            </w:r>
          </w:p>
        </w:tc>
        <w:tc>
          <w:tcPr>
            <w:tcW w:w="3146" w:type="dxa"/>
            <w:vMerge w:val="continue"/>
            <w:tcBorders>
              <w:top w:val="nil"/>
              <w:left w:val="single" w:color="auto" w:sz="4" w:space="0"/>
              <w:bottom w:val="single" w:color="000000" w:sz="4" w:space="0"/>
              <w:right w:val="single" w:color="auto" w:sz="4" w:space="0"/>
            </w:tcBorders>
            <w:noWrap w:val="0"/>
            <w:vAlign w:val="center"/>
          </w:tcPr>
          <w:p w14:paraId="0866A279">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5C6D3130">
            <w:pPr>
              <w:widowControl/>
              <w:spacing w:line="250" w:lineRule="exact"/>
              <w:jc w:val="left"/>
              <w:rPr>
                <w:rFonts w:eastAsia="Times New Roman"/>
                <w:kern w:val="0"/>
                <w:sz w:val="20"/>
              </w:rPr>
            </w:pPr>
          </w:p>
        </w:tc>
      </w:tr>
      <w:tr w14:paraId="318B07CB">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3C55DC2D">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65287BA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组织管控成果编撰、修订</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5CDC15E">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75CDC3FF">
            <w:pPr>
              <w:widowControl/>
              <w:spacing w:line="250" w:lineRule="exact"/>
              <w:jc w:val="left"/>
              <w:rPr>
                <w:rFonts w:eastAsia="Times New Roman"/>
                <w:kern w:val="0"/>
                <w:sz w:val="20"/>
              </w:rPr>
            </w:pPr>
          </w:p>
        </w:tc>
      </w:tr>
      <w:tr w14:paraId="2835BEC4">
        <w:tblPrEx>
          <w:tblCellMar>
            <w:top w:w="0" w:type="dxa"/>
            <w:left w:w="108" w:type="dxa"/>
            <w:bottom w:w="0" w:type="dxa"/>
            <w:right w:w="108" w:type="dxa"/>
          </w:tblCellMar>
        </w:tblPrEx>
        <w:trPr>
          <w:trHeight w:val="279" w:hRule="atLeast"/>
          <w:jc w:val="center"/>
        </w:trPr>
        <w:tc>
          <w:tcPr>
            <w:tcW w:w="1264" w:type="dxa"/>
            <w:vMerge w:val="restart"/>
            <w:tcBorders>
              <w:top w:val="nil"/>
              <w:left w:val="single" w:color="auto" w:sz="4" w:space="0"/>
              <w:bottom w:val="single" w:color="000000" w:sz="4" w:space="0"/>
              <w:right w:val="single" w:color="auto" w:sz="4" w:space="0"/>
            </w:tcBorders>
            <w:noWrap w:val="0"/>
            <w:vAlign w:val="center"/>
          </w:tcPr>
          <w:p w14:paraId="419F5A09">
            <w:pPr>
              <w:widowControl/>
              <w:spacing w:line="240" w:lineRule="exact"/>
              <w:jc w:val="center"/>
              <w:rPr>
                <w:rFonts w:hint="eastAsia" w:ascii="宋体" w:hAnsi="宋体" w:cs="宋体"/>
                <w:b/>
                <w:bCs/>
                <w:color w:val="000000"/>
                <w:kern w:val="0"/>
                <w:sz w:val="20"/>
              </w:rPr>
            </w:pPr>
            <w:r>
              <w:rPr>
                <w:rFonts w:hint="eastAsia" w:ascii="宋体" w:hAnsi="宋体" w:cs="宋体"/>
                <w:b/>
                <w:bCs/>
                <w:color w:val="000000"/>
                <w:kern w:val="0"/>
                <w:sz w:val="20"/>
              </w:rPr>
              <w:t>市场化板块子公司薪酬和绩效激励机制优化</w:t>
            </w:r>
          </w:p>
        </w:tc>
        <w:tc>
          <w:tcPr>
            <w:tcW w:w="5414" w:type="dxa"/>
            <w:tcBorders>
              <w:top w:val="nil"/>
              <w:left w:val="nil"/>
              <w:bottom w:val="single" w:color="auto" w:sz="4" w:space="0"/>
              <w:right w:val="single" w:color="auto" w:sz="4" w:space="0"/>
            </w:tcBorders>
            <w:noWrap w:val="0"/>
            <w:vAlign w:val="center"/>
          </w:tcPr>
          <w:p w14:paraId="16F73EF5">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市场化板块子公司负责人夯实经营负责制研究</w:t>
            </w:r>
          </w:p>
        </w:tc>
        <w:tc>
          <w:tcPr>
            <w:tcW w:w="3146" w:type="dxa"/>
            <w:vMerge w:val="restart"/>
            <w:tcBorders>
              <w:top w:val="nil"/>
              <w:left w:val="single" w:color="auto" w:sz="4" w:space="0"/>
              <w:bottom w:val="single" w:color="000000" w:sz="4" w:space="0"/>
              <w:right w:val="single" w:color="auto" w:sz="4" w:space="0"/>
            </w:tcBorders>
            <w:noWrap w:val="0"/>
            <w:vAlign w:val="center"/>
          </w:tcPr>
          <w:p w14:paraId="35F08ECD">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3.《市场化板块子公司负责人薪酬和绩效管理制度》</w:t>
            </w:r>
            <w:r>
              <w:rPr>
                <w:rFonts w:hint="eastAsia" w:ascii="宋体" w:hAnsi="宋体" w:cs="宋体"/>
                <w:b/>
                <w:bCs/>
                <w:color w:val="000000"/>
                <w:kern w:val="0"/>
                <w:sz w:val="20"/>
              </w:rPr>
              <w:br w:type="textWrapping"/>
            </w:r>
            <w:r>
              <w:rPr>
                <w:rFonts w:hint="eastAsia" w:ascii="宋体" w:hAnsi="宋体" w:cs="宋体"/>
                <w:b/>
                <w:bCs/>
                <w:color w:val="000000"/>
                <w:kern w:val="0"/>
                <w:sz w:val="20"/>
              </w:rPr>
              <w:t>4.《市场化板块子公司（非销售类）员工职级和薪酬管理制度》（含子公司“绩效调节系数”核定标准）</w:t>
            </w:r>
            <w:r>
              <w:rPr>
                <w:rFonts w:hint="eastAsia" w:ascii="宋体" w:hAnsi="宋体" w:cs="宋体"/>
                <w:b/>
                <w:bCs/>
                <w:color w:val="000000"/>
                <w:kern w:val="0"/>
                <w:sz w:val="20"/>
              </w:rPr>
              <w:br w:type="textWrapping"/>
            </w:r>
            <w:r>
              <w:rPr>
                <w:rFonts w:hint="eastAsia" w:ascii="宋体" w:hAnsi="宋体" w:cs="宋体"/>
                <w:b/>
                <w:bCs/>
                <w:color w:val="000000"/>
                <w:kern w:val="0"/>
                <w:sz w:val="20"/>
              </w:rPr>
              <w:t>5.《市场化板块子公司现在职员工职级和薪酬对套测算表》</w:t>
            </w:r>
            <w:r>
              <w:rPr>
                <w:rFonts w:hint="eastAsia" w:ascii="宋体" w:hAnsi="宋体" w:cs="宋体"/>
                <w:b/>
                <w:bCs/>
                <w:color w:val="000000"/>
                <w:kern w:val="0"/>
                <w:sz w:val="20"/>
              </w:rPr>
              <w:br w:type="textWrapping"/>
            </w:r>
            <w:r>
              <w:rPr>
                <w:rFonts w:hint="eastAsia" w:ascii="宋体" w:hAnsi="宋体" w:cs="宋体"/>
                <w:b/>
                <w:bCs/>
                <w:color w:val="000000"/>
                <w:kern w:val="0"/>
                <w:sz w:val="20"/>
              </w:rPr>
              <w:t>6.不同子公司《（销售类）员工薪酬和绩效激励实施方案》（一企一策）</w:t>
            </w:r>
            <w:r>
              <w:rPr>
                <w:rFonts w:hint="eastAsia" w:ascii="宋体" w:hAnsi="宋体" w:cs="宋体"/>
                <w:b/>
                <w:bCs/>
                <w:color w:val="000000"/>
                <w:kern w:val="0"/>
                <w:sz w:val="20"/>
              </w:rPr>
              <w:br w:type="textWrapping"/>
            </w:r>
            <w:r>
              <w:rPr>
                <w:rFonts w:hint="eastAsia" w:ascii="宋体" w:hAnsi="宋体" w:cs="宋体"/>
                <w:b/>
                <w:bCs/>
                <w:color w:val="000000"/>
                <w:kern w:val="0"/>
                <w:sz w:val="20"/>
              </w:rPr>
              <w:t>7.《市场化板块子公司超额利润激励管理制度》</w:t>
            </w:r>
            <w:r>
              <w:rPr>
                <w:rFonts w:hint="eastAsia" w:ascii="宋体" w:hAnsi="宋体" w:cs="宋体"/>
                <w:b/>
                <w:bCs/>
                <w:color w:val="000000"/>
                <w:kern w:val="0"/>
                <w:sz w:val="20"/>
              </w:rPr>
              <w:br w:type="textWrapping"/>
            </w:r>
            <w:r>
              <w:rPr>
                <w:rFonts w:hint="eastAsia" w:ascii="宋体" w:hAnsi="宋体" w:cs="宋体"/>
                <w:b/>
                <w:bCs/>
                <w:color w:val="000000"/>
                <w:kern w:val="0"/>
                <w:sz w:val="20"/>
              </w:rPr>
              <w:t>8.《市场化板块子公司2025年专项激励实施方案》（含具体激励项目、标准及分配规则）</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15018F61">
            <w:pPr>
              <w:widowControl/>
              <w:spacing w:line="250" w:lineRule="exact"/>
              <w:jc w:val="left"/>
              <w:rPr>
                <w:rFonts w:eastAsia="Times New Roman"/>
                <w:kern w:val="0"/>
                <w:sz w:val="20"/>
              </w:rPr>
            </w:pPr>
          </w:p>
        </w:tc>
      </w:tr>
      <w:tr w14:paraId="287341AA">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591A2101">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0AC33F39">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《市场化板块子公司负责人薪酬和绩效管理制度》设计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5368AB7F">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78D0B46">
            <w:pPr>
              <w:widowControl/>
              <w:spacing w:line="250" w:lineRule="exact"/>
              <w:jc w:val="left"/>
              <w:rPr>
                <w:rFonts w:eastAsia="Times New Roman"/>
                <w:kern w:val="0"/>
                <w:sz w:val="20"/>
              </w:rPr>
            </w:pPr>
          </w:p>
        </w:tc>
      </w:tr>
      <w:tr w14:paraId="4DBC6B19">
        <w:tblPrEx>
          <w:tblCellMar>
            <w:top w:w="0" w:type="dxa"/>
            <w:left w:w="108" w:type="dxa"/>
            <w:bottom w:w="0" w:type="dxa"/>
            <w:right w:w="108" w:type="dxa"/>
          </w:tblCellMar>
        </w:tblPrEx>
        <w:trPr>
          <w:trHeight w:val="242"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4C7B4566">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6DE87F1B">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市场化板块子公司岗位梳理、归类和多序列发展通道设计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C77F289">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E661BB4">
            <w:pPr>
              <w:widowControl/>
              <w:spacing w:line="250" w:lineRule="exact"/>
              <w:jc w:val="left"/>
              <w:rPr>
                <w:rFonts w:eastAsia="Times New Roman"/>
                <w:kern w:val="0"/>
                <w:sz w:val="20"/>
              </w:rPr>
            </w:pPr>
          </w:p>
        </w:tc>
      </w:tr>
      <w:tr w14:paraId="650332E3">
        <w:trPr>
          <w:trHeight w:val="475"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70DF1F8">
            <w:pPr>
              <w:widowControl/>
              <w:spacing w:line="240" w:lineRule="exact"/>
              <w:jc w:val="left"/>
              <w:rPr>
                <w:rFonts w:ascii="宋体" w:hAnsi="宋体" w:cs="宋体"/>
                <w:b/>
                <w:bCs/>
                <w:color w:val="000000"/>
                <w:kern w:val="0"/>
                <w:sz w:val="20"/>
              </w:rPr>
            </w:pPr>
          </w:p>
        </w:tc>
        <w:tc>
          <w:tcPr>
            <w:tcW w:w="5414" w:type="dxa"/>
            <w:tcBorders>
              <w:top w:val="single" w:color="auto" w:sz="8" w:space="0"/>
              <w:left w:val="nil"/>
              <w:bottom w:val="single" w:color="auto" w:sz="4" w:space="0"/>
              <w:right w:val="single" w:color="auto" w:sz="4" w:space="0"/>
            </w:tcBorders>
            <w:shd w:val="clear" w:color="000000" w:fill="FFFFFF"/>
            <w:noWrap w:val="0"/>
            <w:vAlign w:val="center"/>
          </w:tcPr>
          <w:p w14:paraId="653CCDC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市场化板块子公司（非销售类）员工薪酬模式、薪酬结构、薪酬等级和水平设计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7108AAF5">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FA38458">
            <w:pPr>
              <w:widowControl/>
              <w:spacing w:line="250" w:lineRule="exact"/>
              <w:jc w:val="left"/>
              <w:rPr>
                <w:rFonts w:eastAsia="Times New Roman"/>
                <w:kern w:val="0"/>
                <w:sz w:val="20"/>
              </w:rPr>
            </w:pPr>
          </w:p>
        </w:tc>
      </w:tr>
      <w:tr w14:paraId="7ADEE115">
        <w:trPr>
          <w:trHeight w:val="223"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B31624E">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28F33B9A">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子公司“绩效调节系数”机制设计、2025年“绩效调节系数”测算</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9EA1194">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1236840C">
            <w:pPr>
              <w:widowControl/>
              <w:spacing w:line="250" w:lineRule="exact"/>
              <w:jc w:val="left"/>
              <w:rPr>
                <w:rFonts w:eastAsia="Times New Roman"/>
                <w:kern w:val="0"/>
                <w:sz w:val="20"/>
              </w:rPr>
            </w:pPr>
          </w:p>
        </w:tc>
      </w:tr>
      <w:tr w14:paraId="19184D5C">
        <w:trPr>
          <w:trHeight w:val="223"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4BD8B521">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4FFC0324">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《市场化板块子公司（非销售类）员工职级和薪酬管理制度》设计、研讨</w:t>
            </w:r>
          </w:p>
        </w:tc>
        <w:tc>
          <w:tcPr>
            <w:tcW w:w="3146" w:type="dxa"/>
            <w:vMerge w:val="continue"/>
            <w:tcBorders>
              <w:top w:val="nil"/>
              <w:left w:val="single" w:color="auto" w:sz="4" w:space="0"/>
              <w:bottom w:val="single" w:color="000000" w:sz="4" w:space="0"/>
              <w:right w:val="single" w:color="auto" w:sz="4" w:space="0"/>
            </w:tcBorders>
            <w:noWrap w:val="0"/>
            <w:vAlign w:val="center"/>
          </w:tcPr>
          <w:p w14:paraId="74286FF6">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7098C60">
            <w:pPr>
              <w:widowControl/>
              <w:spacing w:line="250" w:lineRule="exact"/>
              <w:jc w:val="left"/>
              <w:rPr>
                <w:rFonts w:eastAsia="Times New Roman"/>
                <w:kern w:val="0"/>
                <w:sz w:val="20"/>
              </w:rPr>
            </w:pPr>
          </w:p>
        </w:tc>
      </w:tr>
      <w:tr w14:paraId="2E75B218">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FDF4A2C">
            <w:pPr>
              <w:widowControl/>
              <w:spacing w:line="240" w:lineRule="exact"/>
              <w:jc w:val="left"/>
              <w:rPr>
                <w:rFonts w:ascii="宋体" w:hAnsi="宋体" w:cs="宋体"/>
                <w:b/>
                <w:bCs/>
                <w:color w:val="000000"/>
                <w:kern w:val="0"/>
                <w:sz w:val="20"/>
              </w:rPr>
            </w:pPr>
          </w:p>
        </w:tc>
        <w:tc>
          <w:tcPr>
            <w:tcW w:w="5414" w:type="dxa"/>
            <w:tcBorders>
              <w:top w:val="single" w:color="auto" w:sz="8" w:space="0"/>
              <w:left w:val="nil"/>
              <w:bottom w:val="single" w:color="auto" w:sz="4" w:space="0"/>
              <w:right w:val="single" w:color="auto" w:sz="4" w:space="0"/>
            </w:tcBorders>
            <w:shd w:val="clear" w:color="000000" w:fill="FFFFFF"/>
            <w:noWrap w:val="0"/>
            <w:vAlign w:val="center"/>
          </w:tcPr>
          <w:p w14:paraId="5DBB0404">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不同子公司（销售类）员工薪酬和考核机制设计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5D9C1EB">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F52BA63">
            <w:pPr>
              <w:widowControl/>
              <w:spacing w:line="250" w:lineRule="exact"/>
              <w:jc w:val="left"/>
              <w:rPr>
                <w:rFonts w:eastAsia="Times New Roman"/>
                <w:kern w:val="0"/>
                <w:sz w:val="20"/>
              </w:rPr>
            </w:pPr>
          </w:p>
        </w:tc>
      </w:tr>
      <w:tr w14:paraId="406407CC">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6CD35551">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43E79E3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不同子公司《（销售类）员工薪酬和绩效激励实施方案》</w:t>
            </w:r>
          </w:p>
        </w:tc>
        <w:tc>
          <w:tcPr>
            <w:tcW w:w="3146" w:type="dxa"/>
            <w:vMerge w:val="continue"/>
            <w:tcBorders>
              <w:top w:val="nil"/>
              <w:left w:val="single" w:color="auto" w:sz="4" w:space="0"/>
              <w:bottom w:val="single" w:color="000000" w:sz="4" w:space="0"/>
              <w:right w:val="single" w:color="auto" w:sz="4" w:space="0"/>
            </w:tcBorders>
            <w:noWrap w:val="0"/>
            <w:vAlign w:val="center"/>
          </w:tcPr>
          <w:p w14:paraId="6D8FB54D">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5827D973">
            <w:pPr>
              <w:widowControl/>
              <w:spacing w:line="250" w:lineRule="exact"/>
              <w:jc w:val="left"/>
              <w:rPr>
                <w:rFonts w:eastAsia="Times New Roman"/>
                <w:kern w:val="0"/>
                <w:sz w:val="20"/>
              </w:rPr>
            </w:pPr>
          </w:p>
        </w:tc>
      </w:tr>
      <w:tr w14:paraId="1029EC63">
        <w:tblPrEx>
          <w:tblCellMar>
            <w:top w:w="0" w:type="dxa"/>
            <w:left w:w="108" w:type="dxa"/>
            <w:bottom w:w="0" w:type="dxa"/>
            <w:right w:w="108" w:type="dxa"/>
          </w:tblCellMar>
        </w:tblPrEx>
        <w:trPr>
          <w:trHeight w:val="242"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9FC32F2">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3664C369">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现在职员工薪酬对套测算、讨论、汇报、修订</w:t>
            </w:r>
          </w:p>
        </w:tc>
        <w:tc>
          <w:tcPr>
            <w:tcW w:w="3146" w:type="dxa"/>
            <w:vMerge w:val="continue"/>
            <w:tcBorders>
              <w:top w:val="nil"/>
              <w:left w:val="single" w:color="auto" w:sz="4" w:space="0"/>
              <w:bottom w:val="single" w:color="000000" w:sz="4" w:space="0"/>
              <w:right w:val="single" w:color="auto" w:sz="4" w:space="0"/>
            </w:tcBorders>
            <w:noWrap w:val="0"/>
            <w:vAlign w:val="center"/>
          </w:tcPr>
          <w:p w14:paraId="38E5FE28">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55D32A4">
            <w:pPr>
              <w:widowControl/>
              <w:spacing w:line="250" w:lineRule="exact"/>
              <w:jc w:val="left"/>
              <w:rPr>
                <w:rFonts w:eastAsia="Times New Roman"/>
                <w:kern w:val="0"/>
                <w:sz w:val="20"/>
              </w:rPr>
            </w:pPr>
          </w:p>
        </w:tc>
      </w:tr>
      <w:tr w14:paraId="6C01E72E">
        <w:tblPrEx>
          <w:tblCellMar>
            <w:top w:w="0" w:type="dxa"/>
            <w:left w:w="108" w:type="dxa"/>
            <w:bottom w:w="0" w:type="dxa"/>
            <w:right w:w="108" w:type="dxa"/>
          </w:tblCellMar>
        </w:tblPrEx>
        <w:trPr>
          <w:trHeight w:val="296"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D6309AD">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55A1F07B">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市场化板块子公司子公司超额利润激励、专项激励机制设计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4A6206AC">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EE409CE">
            <w:pPr>
              <w:widowControl/>
              <w:spacing w:line="250" w:lineRule="exact"/>
              <w:jc w:val="left"/>
              <w:rPr>
                <w:rFonts w:eastAsia="Times New Roman"/>
                <w:kern w:val="0"/>
                <w:sz w:val="20"/>
              </w:rPr>
            </w:pPr>
          </w:p>
        </w:tc>
      </w:tr>
      <w:tr w14:paraId="2095E7F1">
        <w:tblPrEx>
          <w:tblCellMar>
            <w:top w:w="0" w:type="dxa"/>
            <w:left w:w="108" w:type="dxa"/>
            <w:bottom w:w="0" w:type="dxa"/>
            <w:right w:w="108" w:type="dxa"/>
          </w:tblCellMar>
        </w:tblPrEx>
        <w:trPr>
          <w:trHeight w:val="320"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3F0476F">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3606E4F1">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《市场化板块子公司超额利润激励管理制度》设计、研讨</w:t>
            </w:r>
          </w:p>
        </w:tc>
        <w:tc>
          <w:tcPr>
            <w:tcW w:w="3146" w:type="dxa"/>
            <w:vMerge w:val="continue"/>
            <w:tcBorders>
              <w:top w:val="nil"/>
              <w:left w:val="single" w:color="auto" w:sz="4" w:space="0"/>
              <w:bottom w:val="single" w:color="000000" w:sz="4" w:space="0"/>
              <w:right w:val="single" w:color="auto" w:sz="4" w:space="0"/>
            </w:tcBorders>
            <w:noWrap w:val="0"/>
            <w:vAlign w:val="center"/>
          </w:tcPr>
          <w:p w14:paraId="3DF98135">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7F396005">
            <w:pPr>
              <w:widowControl/>
              <w:spacing w:line="250" w:lineRule="exact"/>
              <w:jc w:val="left"/>
              <w:rPr>
                <w:rFonts w:eastAsia="Times New Roman"/>
                <w:kern w:val="0"/>
                <w:sz w:val="20"/>
              </w:rPr>
            </w:pPr>
          </w:p>
        </w:tc>
      </w:tr>
      <w:tr w14:paraId="7D5451A8">
        <w:tblPrEx>
          <w:tblCellMar>
            <w:top w:w="0" w:type="dxa"/>
            <w:left w:w="108" w:type="dxa"/>
            <w:bottom w:w="0" w:type="dxa"/>
            <w:right w:w="108" w:type="dxa"/>
          </w:tblCellMar>
        </w:tblPrEx>
        <w:trPr>
          <w:trHeight w:val="331"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59F3F734">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02FAFE12">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《市场化板块子公司2025年专项激励实施方案》设计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4B94E1AC">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9DBC104">
            <w:pPr>
              <w:widowControl/>
              <w:spacing w:line="250" w:lineRule="exact"/>
              <w:jc w:val="left"/>
              <w:rPr>
                <w:rFonts w:eastAsia="Times New Roman"/>
                <w:kern w:val="0"/>
                <w:sz w:val="20"/>
              </w:rPr>
            </w:pPr>
          </w:p>
        </w:tc>
      </w:tr>
      <w:tr w14:paraId="67E77337">
        <w:trPr>
          <w:trHeight w:val="414" w:hRule="atLeast"/>
          <w:jc w:val="center"/>
        </w:trPr>
        <w:tc>
          <w:tcPr>
            <w:tcW w:w="126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44A09CD">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59BC058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市场化板块子公司员工薪酬激励机制优化成果汇报、研讨</w:t>
            </w:r>
          </w:p>
        </w:tc>
        <w:tc>
          <w:tcPr>
            <w:tcW w:w="3146" w:type="dxa"/>
            <w:vMerge w:val="continue"/>
            <w:tcBorders>
              <w:top w:val="nil"/>
              <w:left w:val="single" w:color="auto" w:sz="4" w:space="0"/>
              <w:bottom w:val="single" w:color="auto" w:sz="4" w:space="0"/>
              <w:right w:val="single" w:color="auto" w:sz="4" w:space="0"/>
            </w:tcBorders>
            <w:noWrap w:val="0"/>
            <w:vAlign w:val="center"/>
          </w:tcPr>
          <w:p w14:paraId="6E6BBB81">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2AC1C98">
            <w:pPr>
              <w:widowControl/>
              <w:spacing w:line="250" w:lineRule="exact"/>
              <w:jc w:val="left"/>
              <w:rPr>
                <w:rFonts w:eastAsia="Times New Roman"/>
                <w:kern w:val="0"/>
                <w:sz w:val="20"/>
              </w:rPr>
            </w:pPr>
          </w:p>
        </w:tc>
      </w:tr>
      <w:tr w14:paraId="7B8768E1">
        <w:tblPrEx>
          <w:tblCellMar>
            <w:top w:w="0" w:type="dxa"/>
            <w:left w:w="108" w:type="dxa"/>
            <w:bottom w:w="0" w:type="dxa"/>
            <w:right w:w="108" w:type="dxa"/>
          </w:tblCellMar>
        </w:tblPrEx>
        <w:trPr>
          <w:trHeight w:val="496" w:hRule="atLeast"/>
          <w:jc w:val="center"/>
        </w:trPr>
        <w:tc>
          <w:tcPr>
            <w:tcW w:w="126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202373D5">
            <w:pPr>
              <w:widowControl/>
              <w:spacing w:line="240" w:lineRule="exact"/>
              <w:jc w:val="center"/>
              <w:rPr>
                <w:rFonts w:hint="eastAsia"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rPr>
              <w:t>咨询模块</w:t>
            </w:r>
          </w:p>
        </w:tc>
        <w:tc>
          <w:tcPr>
            <w:tcW w:w="541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7D5814FF">
            <w:pPr>
              <w:widowControl/>
              <w:spacing w:line="240" w:lineRule="exact"/>
              <w:jc w:val="center"/>
              <w:rPr>
                <w:rFonts w:hint="eastAsia"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rPr>
              <w:t>主要工作内容</w:t>
            </w:r>
          </w:p>
        </w:tc>
        <w:tc>
          <w:tcPr>
            <w:tcW w:w="3146"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1CBEA720">
            <w:pPr>
              <w:widowControl/>
              <w:spacing w:line="240" w:lineRule="exact"/>
              <w:jc w:val="center"/>
              <w:rPr>
                <w:rFonts w:hint="eastAsia"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rPr>
              <w:t>项目成果</w:t>
            </w:r>
          </w:p>
        </w:tc>
        <w:tc>
          <w:tcPr>
            <w:tcW w:w="3153"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3CD52EB8">
            <w:pPr>
              <w:widowControl/>
              <w:spacing w:line="240" w:lineRule="exact"/>
              <w:jc w:val="center"/>
              <w:rPr>
                <w:rFonts w:hint="default"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lang w:val="en-US" w:eastAsia="zh-CN"/>
              </w:rPr>
              <w:t>完成时间节点</w:t>
            </w:r>
          </w:p>
        </w:tc>
      </w:tr>
      <w:tr w14:paraId="079488E4">
        <w:tblPrEx>
          <w:tblCellMar>
            <w:top w:w="0" w:type="dxa"/>
            <w:left w:w="108" w:type="dxa"/>
            <w:bottom w:w="0" w:type="dxa"/>
            <w:right w:w="108" w:type="dxa"/>
          </w:tblCellMar>
        </w:tblPrEx>
        <w:trPr>
          <w:trHeight w:val="279" w:hRule="atLeast"/>
          <w:jc w:val="center"/>
        </w:trPr>
        <w:tc>
          <w:tcPr>
            <w:tcW w:w="1264" w:type="dxa"/>
            <w:vMerge w:val="restart"/>
            <w:tcBorders>
              <w:top w:val="single" w:color="auto" w:sz="4" w:space="0"/>
              <w:left w:val="single" w:color="auto" w:sz="4" w:space="0"/>
              <w:bottom w:val="nil"/>
              <w:right w:val="single" w:color="auto" w:sz="4" w:space="0"/>
            </w:tcBorders>
            <w:shd w:val="clear" w:color="auto" w:fill="auto"/>
            <w:noWrap w:val="0"/>
            <w:vAlign w:val="center"/>
          </w:tcPr>
          <w:p w14:paraId="40166B86">
            <w:pPr>
              <w:widowControl/>
              <w:spacing w:line="250" w:lineRule="exact"/>
              <w:jc w:val="center"/>
              <w:rPr>
                <w:rFonts w:hint="eastAsia" w:ascii="宋体" w:hAnsi="宋体" w:cs="宋体"/>
                <w:b/>
                <w:bCs/>
                <w:color w:val="000000"/>
                <w:kern w:val="0"/>
                <w:sz w:val="20"/>
              </w:rPr>
            </w:pPr>
            <w:r>
              <w:rPr>
                <w:rFonts w:hint="eastAsia" w:ascii="宋体" w:hAnsi="宋体" w:cs="宋体"/>
                <w:b/>
                <w:bCs/>
                <w:color w:val="000000"/>
                <w:kern w:val="0"/>
                <w:sz w:val="20"/>
              </w:rPr>
              <w:t>市场化板块子公司绩效考核机制优化</w:t>
            </w:r>
          </w:p>
        </w:tc>
        <w:tc>
          <w:tcPr>
            <w:tcW w:w="54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EED1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市场化板块子公司年度经营计划和年度重点工作计划分析</w:t>
            </w:r>
          </w:p>
        </w:tc>
        <w:tc>
          <w:tcPr>
            <w:tcW w:w="3146"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3B77838E">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9.不同子公司《年度绩效考核实施方案》（一企一策）</w:t>
            </w:r>
            <w:r>
              <w:rPr>
                <w:rFonts w:hint="eastAsia" w:ascii="宋体" w:hAnsi="宋体" w:cs="宋体"/>
                <w:b/>
                <w:bCs/>
                <w:color w:val="000000"/>
                <w:kern w:val="0"/>
                <w:sz w:val="20"/>
              </w:rPr>
              <w:br w:type="textWrapping"/>
            </w:r>
            <w:r>
              <w:rPr>
                <w:rFonts w:hint="eastAsia" w:ascii="宋体" w:hAnsi="宋体" w:cs="宋体"/>
                <w:b/>
                <w:bCs/>
                <w:color w:val="000000"/>
                <w:kern w:val="0"/>
                <w:sz w:val="20"/>
              </w:rPr>
              <w:t>10.不同子公司《部门、岗位考核指标》</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5EDB9F29">
            <w:pPr>
              <w:widowControl/>
              <w:spacing w:line="250" w:lineRule="exact"/>
              <w:jc w:val="left"/>
              <w:rPr>
                <w:rFonts w:eastAsia="Times New Roman"/>
                <w:kern w:val="0"/>
                <w:sz w:val="20"/>
              </w:rPr>
            </w:pPr>
          </w:p>
        </w:tc>
      </w:tr>
      <w:tr w14:paraId="5A1E0891">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nil"/>
              <w:right w:val="single" w:color="auto" w:sz="4" w:space="0"/>
            </w:tcBorders>
            <w:shd w:val="clear" w:color="auto" w:fill="auto"/>
            <w:noWrap w:val="0"/>
            <w:vAlign w:val="center"/>
          </w:tcPr>
          <w:p w14:paraId="1069DBA1">
            <w:pPr>
              <w:widowControl/>
              <w:spacing w:line="250" w:lineRule="exact"/>
              <w:jc w:val="left"/>
              <w:rPr>
                <w:rFonts w:ascii="宋体" w:hAnsi="宋体" w:cs="宋体"/>
                <w:b/>
                <w:bCs/>
                <w:color w:val="000000"/>
                <w:kern w:val="0"/>
                <w:sz w:val="20"/>
              </w:rPr>
            </w:pPr>
          </w:p>
        </w:tc>
        <w:tc>
          <w:tcPr>
            <w:tcW w:w="5414" w:type="dxa"/>
            <w:tcBorders>
              <w:top w:val="nil"/>
              <w:left w:val="single" w:color="auto" w:sz="4" w:space="0"/>
              <w:bottom w:val="single" w:color="auto" w:sz="4" w:space="0"/>
              <w:right w:val="single" w:color="auto" w:sz="4" w:space="0"/>
            </w:tcBorders>
            <w:shd w:val="clear" w:color="000000" w:fill="FFFFFF"/>
            <w:noWrap w:val="0"/>
            <w:vAlign w:val="center"/>
          </w:tcPr>
          <w:p w14:paraId="683AC829">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市场化板块子公司部门、岗位关键绩效指标提取</w:t>
            </w:r>
          </w:p>
        </w:tc>
        <w:tc>
          <w:tcPr>
            <w:tcW w:w="3146" w:type="dxa"/>
            <w:vMerge w:val="continue"/>
            <w:tcBorders>
              <w:top w:val="nil"/>
              <w:left w:val="single" w:color="auto" w:sz="4" w:space="0"/>
              <w:bottom w:val="single" w:color="000000" w:sz="4" w:space="0"/>
              <w:right w:val="single" w:color="auto" w:sz="4" w:space="0"/>
            </w:tcBorders>
            <w:noWrap w:val="0"/>
            <w:vAlign w:val="center"/>
          </w:tcPr>
          <w:p w14:paraId="77DBEA59">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FD68C1D">
            <w:pPr>
              <w:widowControl/>
              <w:spacing w:line="250" w:lineRule="exact"/>
              <w:jc w:val="left"/>
              <w:rPr>
                <w:rFonts w:eastAsia="Times New Roman"/>
                <w:kern w:val="0"/>
                <w:sz w:val="20"/>
              </w:rPr>
            </w:pPr>
          </w:p>
        </w:tc>
      </w:tr>
      <w:tr w14:paraId="337FE062">
        <w:tblPrEx>
          <w:tblCellMar>
            <w:top w:w="0" w:type="dxa"/>
            <w:left w:w="108" w:type="dxa"/>
            <w:bottom w:w="0" w:type="dxa"/>
            <w:right w:w="108" w:type="dxa"/>
          </w:tblCellMar>
        </w:tblPrEx>
        <w:trPr>
          <w:trHeight w:val="242" w:hRule="atLeast"/>
          <w:jc w:val="center"/>
        </w:trPr>
        <w:tc>
          <w:tcPr>
            <w:tcW w:w="1264" w:type="dxa"/>
            <w:vMerge w:val="continue"/>
            <w:tcBorders>
              <w:top w:val="nil"/>
              <w:left w:val="single" w:color="auto" w:sz="4" w:space="0"/>
              <w:bottom w:val="nil"/>
              <w:right w:val="single" w:color="auto" w:sz="4" w:space="0"/>
            </w:tcBorders>
            <w:shd w:val="clear" w:color="auto" w:fill="auto"/>
            <w:noWrap w:val="0"/>
            <w:vAlign w:val="center"/>
          </w:tcPr>
          <w:p w14:paraId="33BBC280">
            <w:pPr>
              <w:widowControl/>
              <w:spacing w:line="250" w:lineRule="exact"/>
              <w:jc w:val="left"/>
              <w:rPr>
                <w:rFonts w:ascii="宋体" w:hAnsi="宋体" w:cs="宋体"/>
                <w:b/>
                <w:bCs/>
                <w:color w:val="000000"/>
                <w:kern w:val="0"/>
                <w:sz w:val="20"/>
              </w:rPr>
            </w:pPr>
          </w:p>
        </w:tc>
        <w:tc>
          <w:tcPr>
            <w:tcW w:w="5414" w:type="dxa"/>
            <w:tcBorders>
              <w:top w:val="nil"/>
              <w:left w:val="single" w:color="auto" w:sz="4" w:space="0"/>
              <w:bottom w:val="single" w:color="auto" w:sz="4" w:space="0"/>
              <w:right w:val="single" w:color="auto" w:sz="4" w:space="0"/>
            </w:tcBorders>
            <w:shd w:val="clear" w:color="000000" w:fill="FFFFFF"/>
            <w:noWrap w:val="0"/>
            <w:vAlign w:val="center"/>
          </w:tcPr>
          <w:p w14:paraId="5B3C1C75">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 xml:space="preserve">《市场化板块子公司员工年度绩效考核实施方案》设计 </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52DD401">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67AE0EA">
            <w:pPr>
              <w:widowControl/>
              <w:spacing w:line="250" w:lineRule="exact"/>
              <w:jc w:val="left"/>
              <w:rPr>
                <w:rFonts w:eastAsia="Times New Roman"/>
                <w:kern w:val="0"/>
                <w:sz w:val="20"/>
              </w:rPr>
            </w:pPr>
          </w:p>
        </w:tc>
      </w:tr>
      <w:tr w14:paraId="6B265BC6">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nil"/>
              <w:right w:val="single" w:color="auto" w:sz="4" w:space="0"/>
            </w:tcBorders>
            <w:shd w:val="clear" w:color="auto" w:fill="auto"/>
            <w:noWrap w:val="0"/>
            <w:vAlign w:val="center"/>
          </w:tcPr>
          <w:p w14:paraId="741944F6">
            <w:pPr>
              <w:widowControl/>
              <w:spacing w:line="250" w:lineRule="exact"/>
              <w:jc w:val="left"/>
              <w:rPr>
                <w:rFonts w:ascii="宋体" w:hAnsi="宋体" w:cs="宋体"/>
                <w:b/>
                <w:bCs/>
                <w:color w:val="000000"/>
                <w:kern w:val="0"/>
                <w:sz w:val="20"/>
              </w:rPr>
            </w:pPr>
          </w:p>
        </w:tc>
        <w:tc>
          <w:tcPr>
            <w:tcW w:w="5414" w:type="dxa"/>
            <w:tcBorders>
              <w:top w:val="nil"/>
              <w:left w:val="single" w:color="auto" w:sz="4" w:space="0"/>
              <w:bottom w:val="single" w:color="auto" w:sz="4" w:space="0"/>
              <w:right w:val="single" w:color="auto" w:sz="4" w:space="0"/>
            </w:tcBorders>
            <w:shd w:val="clear" w:color="000000" w:fill="FFFFFF"/>
            <w:noWrap w:val="0"/>
            <w:vAlign w:val="center"/>
          </w:tcPr>
          <w:p w14:paraId="5F2E2571">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绩效体系试运行辅导、修正</w:t>
            </w:r>
          </w:p>
        </w:tc>
        <w:tc>
          <w:tcPr>
            <w:tcW w:w="3146" w:type="dxa"/>
            <w:vMerge w:val="continue"/>
            <w:tcBorders>
              <w:top w:val="nil"/>
              <w:left w:val="single" w:color="auto" w:sz="4" w:space="0"/>
              <w:bottom w:val="single" w:color="000000" w:sz="4" w:space="0"/>
              <w:right w:val="single" w:color="auto" w:sz="4" w:space="0"/>
            </w:tcBorders>
            <w:noWrap w:val="0"/>
            <w:vAlign w:val="center"/>
          </w:tcPr>
          <w:p w14:paraId="1B9D0446">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DFD9590">
            <w:pPr>
              <w:widowControl/>
              <w:spacing w:line="250" w:lineRule="exact"/>
              <w:jc w:val="left"/>
              <w:rPr>
                <w:rFonts w:eastAsia="Times New Roman"/>
                <w:kern w:val="0"/>
                <w:sz w:val="20"/>
              </w:rPr>
            </w:pPr>
          </w:p>
        </w:tc>
      </w:tr>
      <w:tr w14:paraId="31C71729">
        <w:trPr>
          <w:trHeight w:val="223" w:hRule="atLeast"/>
          <w:jc w:val="center"/>
        </w:trPr>
        <w:tc>
          <w:tcPr>
            <w:tcW w:w="126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37896EE">
            <w:pPr>
              <w:widowControl/>
              <w:spacing w:line="250" w:lineRule="exact"/>
              <w:jc w:val="center"/>
              <w:rPr>
                <w:rFonts w:hint="eastAsia" w:ascii="宋体" w:hAnsi="宋体" w:cs="宋体"/>
                <w:b/>
                <w:bCs/>
                <w:color w:val="000000"/>
                <w:kern w:val="0"/>
                <w:sz w:val="20"/>
              </w:rPr>
            </w:pPr>
            <w:r>
              <w:rPr>
                <w:rFonts w:hint="eastAsia" w:ascii="宋体" w:hAnsi="宋体" w:cs="宋体"/>
                <w:b/>
                <w:bCs/>
                <w:color w:val="000000"/>
                <w:kern w:val="0"/>
                <w:sz w:val="20"/>
              </w:rPr>
              <w:t>项目成果落地与辅导</w:t>
            </w:r>
          </w:p>
        </w:tc>
        <w:tc>
          <w:tcPr>
            <w:tcW w:w="5414" w:type="dxa"/>
            <w:tcBorders>
              <w:top w:val="nil"/>
              <w:left w:val="nil"/>
              <w:bottom w:val="single" w:color="auto" w:sz="4" w:space="0"/>
              <w:right w:val="single" w:color="auto" w:sz="4" w:space="0"/>
            </w:tcBorders>
            <w:shd w:val="clear" w:color="auto" w:fill="auto"/>
            <w:noWrap w:val="0"/>
            <w:vAlign w:val="center"/>
          </w:tcPr>
          <w:p w14:paraId="34639EBF">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项目成果汇报、修订</w:t>
            </w:r>
          </w:p>
        </w:tc>
        <w:tc>
          <w:tcPr>
            <w:tcW w:w="3146"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D2C4001">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11.各类汇报材料和《项目成果宣贯报告》</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4E756D9">
            <w:pPr>
              <w:widowControl/>
              <w:spacing w:line="250" w:lineRule="exact"/>
              <w:jc w:val="left"/>
              <w:rPr>
                <w:rFonts w:eastAsia="Times New Roman"/>
                <w:kern w:val="0"/>
                <w:sz w:val="20"/>
              </w:rPr>
            </w:pPr>
          </w:p>
        </w:tc>
      </w:tr>
      <w:tr w14:paraId="2D1EE12A">
        <w:tblPrEx>
          <w:tblCellMar>
            <w:top w:w="0" w:type="dxa"/>
            <w:left w:w="108" w:type="dxa"/>
            <w:bottom w:w="0" w:type="dxa"/>
            <w:right w:w="108" w:type="dxa"/>
          </w:tblCellMar>
        </w:tblPrEx>
        <w:trPr>
          <w:trHeight w:val="223" w:hRule="atLeast"/>
          <w:jc w:val="center"/>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DEBD89F">
            <w:pPr>
              <w:widowControl/>
              <w:spacing w:line="25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0215B255">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项目成果要点全员宣贯、培训</w:t>
            </w:r>
          </w:p>
        </w:tc>
        <w:tc>
          <w:tcPr>
            <w:tcW w:w="3146" w:type="dxa"/>
            <w:vMerge w:val="continue"/>
            <w:tcBorders>
              <w:top w:val="nil"/>
              <w:left w:val="single" w:color="auto" w:sz="4" w:space="0"/>
              <w:bottom w:val="single" w:color="auto" w:sz="4" w:space="0"/>
              <w:right w:val="single" w:color="auto" w:sz="4" w:space="0"/>
            </w:tcBorders>
            <w:noWrap w:val="0"/>
            <w:vAlign w:val="center"/>
          </w:tcPr>
          <w:p w14:paraId="372745E4">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74D2B2BA">
            <w:pPr>
              <w:widowControl/>
              <w:spacing w:line="250" w:lineRule="exact"/>
              <w:jc w:val="left"/>
              <w:rPr>
                <w:rFonts w:eastAsia="Times New Roman"/>
                <w:kern w:val="0"/>
                <w:sz w:val="20"/>
              </w:rPr>
            </w:pPr>
          </w:p>
        </w:tc>
      </w:tr>
      <w:tr w14:paraId="5FAFB427">
        <w:tblPrEx>
          <w:tblCellMar>
            <w:top w:w="0" w:type="dxa"/>
            <w:left w:w="108" w:type="dxa"/>
            <w:bottom w:w="0" w:type="dxa"/>
            <w:right w:w="108" w:type="dxa"/>
          </w:tblCellMar>
        </w:tblPrEx>
        <w:trPr>
          <w:trHeight w:val="223" w:hRule="atLeast"/>
          <w:jc w:val="center"/>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1058C5C0">
            <w:pPr>
              <w:widowControl/>
              <w:spacing w:line="250" w:lineRule="exact"/>
              <w:jc w:val="left"/>
              <w:rPr>
                <w:rFonts w:ascii="宋体" w:hAnsi="宋体" w:cs="宋体"/>
                <w:b/>
                <w:bCs/>
                <w:color w:val="000000"/>
                <w:kern w:val="0"/>
                <w:sz w:val="20"/>
              </w:rPr>
            </w:pPr>
          </w:p>
        </w:tc>
        <w:tc>
          <w:tcPr>
            <w:tcW w:w="5414" w:type="dxa"/>
            <w:tcBorders>
              <w:top w:val="nil"/>
              <w:left w:val="nil"/>
              <w:bottom w:val="nil"/>
              <w:right w:val="single" w:color="auto" w:sz="4" w:space="0"/>
            </w:tcBorders>
            <w:noWrap w:val="0"/>
            <w:vAlign w:val="center"/>
          </w:tcPr>
          <w:p w14:paraId="0492983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项目落地售后服务</w:t>
            </w:r>
          </w:p>
        </w:tc>
        <w:tc>
          <w:tcPr>
            <w:tcW w:w="3146" w:type="dxa"/>
            <w:vMerge w:val="continue"/>
            <w:tcBorders>
              <w:top w:val="nil"/>
              <w:left w:val="single" w:color="auto" w:sz="4" w:space="0"/>
              <w:bottom w:val="nil"/>
              <w:right w:val="single" w:color="auto" w:sz="4" w:space="0"/>
            </w:tcBorders>
            <w:noWrap w:val="0"/>
            <w:vAlign w:val="center"/>
          </w:tcPr>
          <w:p w14:paraId="65F35352">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191B5F03">
            <w:pPr>
              <w:widowControl/>
              <w:spacing w:line="250" w:lineRule="exact"/>
              <w:jc w:val="left"/>
              <w:rPr>
                <w:rFonts w:eastAsia="Times New Roman"/>
                <w:kern w:val="0"/>
                <w:sz w:val="20"/>
              </w:rPr>
            </w:pPr>
          </w:p>
        </w:tc>
      </w:tr>
      <w:tr w14:paraId="792E0CC6">
        <w:tblPrEx>
          <w:tblCellMar>
            <w:top w:w="0" w:type="dxa"/>
            <w:left w:w="108" w:type="dxa"/>
            <w:bottom w:w="0" w:type="dxa"/>
            <w:right w:w="108" w:type="dxa"/>
          </w:tblCellMar>
        </w:tblPrEx>
        <w:trPr>
          <w:trHeight w:val="400" w:hRule="atLeast"/>
          <w:jc w:val="center"/>
        </w:trPr>
        <w:tc>
          <w:tcPr>
            <w:tcW w:w="12977" w:type="dxa"/>
            <w:gridSpan w:val="4"/>
            <w:tcBorders>
              <w:top w:val="single" w:color="auto" w:sz="4" w:space="0"/>
              <w:left w:val="single" w:color="auto" w:sz="4" w:space="0"/>
              <w:bottom w:val="single" w:color="auto" w:sz="4" w:space="0"/>
              <w:right w:val="single" w:color="auto" w:sz="4" w:space="0"/>
            </w:tcBorders>
            <w:noWrap w:val="0"/>
            <w:vAlign w:val="center"/>
          </w:tcPr>
          <w:p w14:paraId="004DB83F">
            <w:pPr>
              <w:widowControl/>
              <w:tabs>
                <w:tab w:val="left" w:pos="2822"/>
              </w:tabs>
              <w:spacing w:line="250" w:lineRule="exact"/>
              <w:jc w:val="left"/>
              <w:rPr>
                <w:rFonts w:hint="default" w:eastAsia="宋体"/>
                <w:kern w:val="0"/>
                <w:sz w:val="20"/>
                <w:lang w:val="en-US" w:eastAsia="zh-CN"/>
              </w:rPr>
            </w:pPr>
            <w:r>
              <w:rPr>
                <w:rFonts w:hint="eastAsia" w:ascii="楷体_GB2312" w:hAnsi="楷体_GB2312" w:eastAsia="楷体_GB2312" w:cs="楷体_GB2312"/>
                <w:kern w:val="0"/>
                <w:sz w:val="21"/>
                <w:szCs w:val="28"/>
                <w:lang w:val="en-US" w:eastAsia="zh-CN"/>
              </w:rPr>
              <w:t>说明：上表中的相关内容及成果，经双方协商一致后，可根据实际情况适当调整，以适应企业发展需求。</w:t>
            </w:r>
          </w:p>
        </w:tc>
      </w:tr>
    </w:tbl>
    <w:p w14:paraId="6EAFB54A">
      <w:pPr>
        <w:tabs>
          <w:tab w:val="left" w:pos="6437"/>
        </w:tabs>
        <w:jc w:val="left"/>
        <w:rPr>
          <w:rFonts w:hint="default"/>
          <w:lang w:val="en-US" w:eastAsia="zh-CN"/>
        </w:rPr>
      </w:pPr>
    </w:p>
    <w:p w14:paraId="55861B15">
      <w:pPr>
        <w:pStyle w:val="32"/>
        <w:ind w:left="0" w:leftChars="0"/>
        <w:rPr>
          <w:rFonts w:hint="default"/>
          <w:lang w:val="en-US" w:eastAsia="zh-CN"/>
        </w:rPr>
      </w:pPr>
    </w:p>
    <w:sectPr>
      <w:footerReference r:id="rId1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F8D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D38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7D38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92A4">
    <w:pPr>
      <w:pStyle w:val="12"/>
      <w:pBdr>
        <w:top w:val="single" w:color="auto" w:sz="4" w:space="1"/>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1C030">
                          <w:pPr>
                            <w:pStyle w:val="12"/>
                            <w:pBdr>
                              <w:top w:val="none" w:color="auto" w:sz="0" w:space="0"/>
                              <w:left w:val="none" w:color="auto" w:sz="0" w:space="0"/>
                              <w:bottom w:val="none" w:color="auto" w:sz="0" w:space="0"/>
                              <w:right w:val="none" w:color="auto" w:sz="0" w:space="0"/>
                              <w:between w:val="none" w:color="auto" w:sz="0" w:space="0"/>
                            </w:pBd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C1C030">
                    <w:pPr>
                      <w:pStyle w:val="12"/>
                      <w:pBdr>
                        <w:top w:val="none" w:color="auto" w:sz="0" w:space="0"/>
                        <w:left w:val="none" w:color="auto" w:sz="0" w:space="0"/>
                        <w:bottom w:val="none" w:color="auto" w:sz="0" w:space="0"/>
                        <w:right w:val="none" w:color="auto" w:sz="0" w:space="0"/>
                        <w:between w:val="none" w:color="auto" w:sz="0" w:space="0"/>
                      </w:pBd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6BC1">
    <w:pPr>
      <w:pStyle w:val="12"/>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2ADB5">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62ADB5">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D71F">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CA8F2">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39CA8F2">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D9EA">
    <w:pPr>
      <w:pStyle w:val="12"/>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0916">
                          <w:pPr>
                            <w:pStyle w:val="12"/>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AE0916">
                    <w:pPr>
                      <w:pStyle w:val="12"/>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E6F">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4A37B">
                          <w:pPr>
                            <w:pStyle w:val="1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14A37B">
                    <w:pPr>
                      <w:pStyle w:val="1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8129">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939D">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B1939D">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4C8D">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0819E">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00819E">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3B71">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A9EF1">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0A9EF1">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9175">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060F">
    <w:pPr>
      <w:pStyle w:val="13"/>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AADE">
    <w:pPr>
      <w:pStyle w:val="13"/>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64E2">
    <w:pPr>
      <w:pStyle w:val="13"/>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26DF">
    <w:pPr>
      <w:pStyle w:val="13"/>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121C">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5"/>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71F520E"/>
    <w:multiLevelType w:val="singleLevel"/>
    <w:tmpl w:val="271F520E"/>
    <w:lvl w:ilvl="0" w:tentative="0">
      <w:start w:val="3"/>
      <w:numFmt w:val="chineseCounting"/>
      <w:suff w:val="space"/>
      <w:lvlText w:val="第%1部分"/>
      <w:lvlJc w:val="left"/>
      <w:rPr>
        <w:rFonts w:hint="eastAsia"/>
        <w:b/>
        <w:bCs/>
      </w:rPr>
    </w:lvl>
  </w:abstractNum>
  <w:abstractNum w:abstractNumId="3">
    <w:nsid w:val="32980AAC"/>
    <w:multiLevelType w:val="singleLevel"/>
    <w:tmpl w:val="32980AAC"/>
    <w:lvl w:ilvl="0" w:tentative="0">
      <w:start w:val="4"/>
      <w:numFmt w:val="chineseCounting"/>
      <w:suff w:val="nothing"/>
      <w:lvlText w:val="%1、"/>
      <w:lvlJc w:val="left"/>
      <w:rPr>
        <w:rFonts w:hint="eastAsia"/>
      </w:rPr>
    </w:lvl>
  </w:abstractNum>
  <w:abstractNum w:abstractNumId="4">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s>
  <w:rsids>
    <w:rsidRoot w:val="39C60050"/>
    <w:rsid w:val="000332E6"/>
    <w:rsid w:val="00072C34"/>
    <w:rsid w:val="000820AF"/>
    <w:rsid w:val="00292BAB"/>
    <w:rsid w:val="00425A1B"/>
    <w:rsid w:val="004E616D"/>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1905"/>
    <w:rsid w:val="020236B3"/>
    <w:rsid w:val="020538D8"/>
    <w:rsid w:val="02154249"/>
    <w:rsid w:val="02187B03"/>
    <w:rsid w:val="02206521"/>
    <w:rsid w:val="02217E2F"/>
    <w:rsid w:val="02222383"/>
    <w:rsid w:val="02225B04"/>
    <w:rsid w:val="022A49B8"/>
    <w:rsid w:val="02362AD8"/>
    <w:rsid w:val="023E5201"/>
    <w:rsid w:val="025C30E2"/>
    <w:rsid w:val="02936A01"/>
    <w:rsid w:val="029721B6"/>
    <w:rsid w:val="029B5D53"/>
    <w:rsid w:val="029F0F02"/>
    <w:rsid w:val="02B50913"/>
    <w:rsid w:val="02B726F0"/>
    <w:rsid w:val="02C82FA4"/>
    <w:rsid w:val="02CB0C3C"/>
    <w:rsid w:val="02D52EEC"/>
    <w:rsid w:val="02DE7C7D"/>
    <w:rsid w:val="02E227EE"/>
    <w:rsid w:val="02E72B1A"/>
    <w:rsid w:val="02E9346E"/>
    <w:rsid w:val="02E9543A"/>
    <w:rsid w:val="02F079B0"/>
    <w:rsid w:val="02F92D08"/>
    <w:rsid w:val="02FA25DD"/>
    <w:rsid w:val="03015719"/>
    <w:rsid w:val="03062D2F"/>
    <w:rsid w:val="030B7344"/>
    <w:rsid w:val="031C2D9E"/>
    <w:rsid w:val="03283D05"/>
    <w:rsid w:val="033616B7"/>
    <w:rsid w:val="033C405D"/>
    <w:rsid w:val="03443F72"/>
    <w:rsid w:val="034B2E38"/>
    <w:rsid w:val="034F1369"/>
    <w:rsid w:val="03613E1C"/>
    <w:rsid w:val="03675440"/>
    <w:rsid w:val="03795BF7"/>
    <w:rsid w:val="03942A31"/>
    <w:rsid w:val="03AA4003"/>
    <w:rsid w:val="03B5144B"/>
    <w:rsid w:val="03BE185C"/>
    <w:rsid w:val="03CA3CC8"/>
    <w:rsid w:val="03D472D2"/>
    <w:rsid w:val="03E94B2B"/>
    <w:rsid w:val="03EC0177"/>
    <w:rsid w:val="03F139E0"/>
    <w:rsid w:val="03F71530"/>
    <w:rsid w:val="03FE7EAB"/>
    <w:rsid w:val="04001E75"/>
    <w:rsid w:val="040354C1"/>
    <w:rsid w:val="040A684F"/>
    <w:rsid w:val="04167974"/>
    <w:rsid w:val="042A6EF2"/>
    <w:rsid w:val="043769E8"/>
    <w:rsid w:val="0442423B"/>
    <w:rsid w:val="044E498E"/>
    <w:rsid w:val="04661B14"/>
    <w:rsid w:val="04697A1A"/>
    <w:rsid w:val="04820FCD"/>
    <w:rsid w:val="048B7990"/>
    <w:rsid w:val="04912ACD"/>
    <w:rsid w:val="04A874B9"/>
    <w:rsid w:val="04AB3B8E"/>
    <w:rsid w:val="04BD1B14"/>
    <w:rsid w:val="04BD45D7"/>
    <w:rsid w:val="04E92909"/>
    <w:rsid w:val="04ED6767"/>
    <w:rsid w:val="04F574FF"/>
    <w:rsid w:val="04FC43EA"/>
    <w:rsid w:val="050D2A9B"/>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5ED01D7"/>
    <w:rsid w:val="06085010"/>
    <w:rsid w:val="06173EC2"/>
    <w:rsid w:val="061D0A6C"/>
    <w:rsid w:val="061F5634"/>
    <w:rsid w:val="06231E4A"/>
    <w:rsid w:val="062760C1"/>
    <w:rsid w:val="063F4ED6"/>
    <w:rsid w:val="06497B03"/>
    <w:rsid w:val="066328A2"/>
    <w:rsid w:val="06782196"/>
    <w:rsid w:val="06783F44"/>
    <w:rsid w:val="067A4160"/>
    <w:rsid w:val="069D7E4F"/>
    <w:rsid w:val="06A967F3"/>
    <w:rsid w:val="06AD62E4"/>
    <w:rsid w:val="06B50CF4"/>
    <w:rsid w:val="06B65CE0"/>
    <w:rsid w:val="06B807E5"/>
    <w:rsid w:val="06B8545D"/>
    <w:rsid w:val="06C47189"/>
    <w:rsid w:val="06EB2067"/>
    <w:rsid w:val="06EC66E0"/>
    <w:rsid w:val="07061550"/>
    <w:rsid w:val="072B47B2"/>
    <w:rsid w:val="073E694D"/>
    <w:rsid w:val="073F4A62"/>
    <w:rsid w:val="074309F6"/>
    <w:rsid w:val="07465DF0"/>
    <w:rsid w:val="07506C6F"/>
    <w:rsid w:val="075B2A29"/>
    <w:rsid w:val="075F5E39"/>
    <w:rsid w:val="07746E01"/>
    <w:rsid w:val="077C7A64"/>
    <w:rsid w:val="07832EBC"/>
    <w:rsid w:val="078825F0"/>
    <w:rsid w:val="079F6DB0"/>
    <w:rsid w:val="07A07BF6"/>
    <w:rsid w:val="07A56FBB"/>
    <w:rsid w:val="07AD2E51"/>
    <w:rsid w:val="07BD32CC"/>
    <w:rsid w:val="07FE491D"/>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D1CB1"/>
    <w:rsid w:val="095D78A1"/>
    <w:rsid w:val="09645F19"/>
    <w:rsid w:val="096B4234"/>
    <w:rsid w:val="09723EBB"/>
    <w:rsid w:val="097D2B29"/>
    <w:rsid w:val="09970B85"/>
    <w:rsid w:val="09A64B33"/>
    <w:rsid w:val="09A926B0"/>
    <w:rsid w:val="09AB5419"/>
    <w:rsid w:val="09C33728"/>
    <w:rsid w:val="09DE4A06"/>
    <w:rsid w:val="09EB1672"/>
    <w:rsid w:val="09EC470F"/>
    <w:rsid w:val="09ED5629"/>
    <w:rsid w:val="09F935EE"/>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C345EC"/>
    <w:rsid w:val="0AE05900"/>
    <w:rsid w:val="0AF322CC"/>
    <w:rsid w:val="0AFF3DE8"/>
    <w:rsid w:val="0B0142F8"/>
    <w:rsid w:val="0B04049C"/>
    <w:rsid w:val="0B04224A"/>
    <w:rsid w:val="0B0E42E3"/>
    <w:rsid w:val="0B13248D"/>
    <w:rsid w:val="0B136931"/>
    <w:rsid w:val="0B1F0D10"/>
    <w:rsid w:val="0B2452C4"/>
    <w:rsid w:val="0B293A5F"/>
    <w:rsid w:val="0B353D08"/>
    <w:rsid w:val="0B3A428A"/>
    <w:rsid w:val="0B3B7059"/>
    <w:rsid w:val="0B451935"/>
    <w:rsid w:val="0B573F86"/>
    <w:rsid w:val="0B6952CF"/>
    <w:rsid w:val="0B70168E"/>
    <w:rsid w:val="0B7F2855"/>
    <w:rsid w:val="0B81389B"/>
    <w:rsid w:val="0B887381"/>
    <w:rsid w:val="0B907F82"/>
    <w:rsid w:val="0B941820"/>
    <w:rsid w:val="0BA31697"/>
    <w:rsid w:val="0BD83E52"/>
    <w:rsid w:val="0BDD2148"/>
    <w:rsid w:val="0BF202F5"/>
    <w:rsid w:val="0BF80469"/>
    <w:rsid w:val="0C057E7D"/>
    <w:rsid w:val="0C28640C"/>
    <w:rsid w:val="0C2C18DA"/>
    <w:rsid w:val="0C427989"/>
    <w:rsid w:val="0C594818"/>
    <w:rsid w:val="0C607954"/>
    <w:rsid w:val="0C642AD2"/>
    <w:rsid w:val="0C9E5680"/>
    <w:rsid w:val="0CB21806"/>
    <w:rsid w:val="0CC4458E"/>
    <w:rsid w:val="0CCB23AD"/>
    <w:rsid w:val="0CCB35BE"/>
    <w:rsid w:val="0CCC34B8"/>
    <w:rsid w:val="0CEB696A"/>
    <w:rsid w:val="0D1D3A97"/>
    <w:rsid w:val="0D49488C"/>
    <w:rsid w:val="0D7D7EAD"/>
    <w:rsid w:val="0DA727CF"/>
    <w:rsid w:val="0DAE2941"/>
    <w:rsid w:val="0DE27B9E"/>
    <w:rsid w:val="0DE406F8"/>
    <w:rsid w:val="0DEF71E2"/>
    <w:rsid w:val="0E0C56D8"/>
    <w:rsid w:val="0E2019A6"/>
    <w:rsid w:val="0E4117A9"/>
    <w:rsid w:val="0E5E6115"/>
    <w:rsid w:val="0E613A3C"/>
    <w:rsid w:val="0E675CD8"/>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895414"/>
    <w:rsid w:val="0F900A8A"/>
    <w:rsid w:val="0F9A4F2B"/>
    <w:rsid w:val="0FA160C7"/>
    <w:rsid w:val="0FA23C75"/>
    <w:rsid w:val="0FBB7521"/>
    <w:rsid w:val="0FBC7598"/>
    <w:rsid w:val="0FBF2BE4"/>
    <w:rsid w:val="0FC1695C"/>
    <w:rsid w:val="0FD814C2"/>
    <w:rsid w:val="0FDA0BAD"/>
    <w:rsid w:val="0FDF3286"/>
    <w:rsid w:val="0FEC413D"/>
    <w:rsid w:val="0FED14FF"/>
    <w:rsid w:val="0FF53DE9"/>
    <w:rsid w:val="0FF81758"/>
    <w:rsid w:val="101877CC"/>
    <w:rsid w:val="102869DB"/>
    <w:rsid w:val="103A04BC"/>
    <w:rsid w:val="103A5294"/>
    <w:rsid w:val="105C0433"/>
    <w:rsid w:val="106A2B50"/>
    <w:rsid w:val="10702130"/>
    <w:rsid w:val="10863702"/>
    <w:rsid w:val="108D683E"/>
    <w:rsid w:val="10912121"/>
    <w:rsid w:val="10951E6A"/>
    <w:rsid w:val="10A00F1C"/>
    <w:rsid w:val="10A36062"/>
    <w:rsid w:val="10A818CA"/>
    <w:rsid w:val="10B17915"/>
    <w:rsid w:val="10C04E65"/>
    <w:rsid w:val="10D425EB"/>
    <w:rsid w:val="10D94FCD"/>
    <w:rsid w:val="10E072B6"/>
    <w:rsid w:val="10F655D7"/>
    <w:rsid w:val="10F66AD9"/>
    <w:rsid w:val="10FB40F0"/>
    <w:rsid w:val="10FD7E68"/>
    <w:rsid w:val="111156C1"/>
    <w:rsid w:val="113B0990"/>
    <w:rsid w:val="11407D54"/>
    <w:rsid w:val="1142094C"/>
    <w:rsid w:val="114809B7"/>
    <w:rsid w:val="114F61E9"/>
    <w:rsid w:val="11543C0D"/>
    <w:rsid w:val="11592BC4"/>
    <w:rsid w:val="116E041E"/>
    <w:rsid w:val="117A14B8"/>
    <w:rsid w:val="117B6FDE"/>
    <w:rsid w:val="118057AC"/>
    <w:rsid w:val="118D0AE4"/>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6C535F"/>
    <w:rsid w:val="13781A27"/>
    <w:rsid w:val="137E3A39"/>
    <w:rsid w:val="13826402"/>
    <w:rsid w:val="138E4DA7"/>
    <w:rsid w:val="139879D4"/>
    <w:rsid w:val="13A0020C"/>
    <w:rsid w:val="13BF31B2"/>
    <w:rsid w:val="13C450EB"/>
    <w:rsid w:val="13C702B9"/>
    <w:rsid w:val="13CC1D73"/>
    <w:rsid w:val="13D11138"/>
    <w:rsid w:val="13D824C6"/>
    <w:rsid w:val="13E175CD"/>
    <w:rsid w:val="13E62E35"/>
    <w:rsid w:val="13E764AF"/>
    <w:rsid w:val="141259D8"/>
    <w:rsid w:val="141679D3"/>
    <w:rsid w:val="14192DF2"/>
    <w:rsid w:val="144A5D9E"/>
    <w:rsid w:val="14733869"/>
    <w:rsid w:val="14771AE8"/>
    <w:rsid w:val="14773A8D"/>
    <w:rsid w:val="149245C7"/>
    <w:rsid w:val="14975EDD"/>
    <w:rsid w:val="14A916C8"/>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802E15"/>
    <w:rsid w:val="15962D65"/>
    <w:rsid w:val="15983073"/>
    <w:rsid w:val="15B30AF5"/>
    <w:rsid w:val="15B8435D"/>
    <w:rsid w:val="15BE2BCB"/>
    <w:rsid w:val="15C471A6"/>
    <w:rsid w:val="15D849FF"/>
    <w:rsid w:val="15ED5D64"/>
    <w:rsid w:val="15F5456E"/>
    <w:rsid w:val="15FB06EE"/>
    <w:rsid w:val="15FD448C"/>
    <w:rsid w:val="16012C22"/>
    <w:rsid w:val="16177546"/>
    <w:rsid w:val="16187C8E"/>
    <w:rsid w:val="161A0033"/>
    <w:rsid w:val="161A6DC6"/>
    <w:rsid w:val="16215A4C"/>
    <w:rsid w:val="16291BE9"/>
    <w:rsid w:val="16414353"/>
    <w:rsid w:val="166E0EC0"/>
    <w:rsid w:val="16775FC6"/>
    <w:rsid w:val="168111F9"/>
    <w:rsid w:val="16AD19E8"/>
    <w:rsid w:val="16B94831"/>
    <w:rsid w:val="16BA2748"/>
    <w:rsid w:val="16CC508A"/>
    <w:rsid w:val="16CE4CA3"/>
    <w:rsid w:val="16D23900"/>
    <w:rsid w:val="16DB32E8"/>
    <w:rsid w:val="16E42F30"/>
    <w:rsid w:val="16EB0762"/>
    <w:rsid w:val="16FB4B59"/>
    <w:rsid w:val="16FF7D6A"/>
    <w:rsid w:val="170610F8"/>
    <w:rsid w:val="17086FE4"/>
    <w:rsid w:val="17101F77"/>
    <w:rsid w:val="171A4BA4"/>
    <w:rsid w:val="17424826"/>
    <w:rsid w:val="17483C7D"/>
    <w:rsid w:val="175029CC"/>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A72AB"/>
    <w:rsid w:val="183F2B14"/>
    <w:rsid w:val="184E4EB9"/>
    <w:rsid w:val="186E717E"/>
    <w:rsid w:val="187205F4"/>
    <w:rsid w:val="18770500"/>
    <w:rsid w:val="188B6A0C"/>
    <w:rsid w:val="188C5381"/>
    <w:rsid w:val="18952734"/>
    <w:rsid w:val="18AD1107"/>
    <w:rsid w:val="18B42547"/>
    <w:rsid w:val="18BD7E3C"/>
    <w:rsid w:val="18C20512"/>
    <w:rsid w:val="18C54065"/>
    <w:rsid w:val="18CE6F3E"/>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9D674A8"/>
    <w:rsid w:val="1A0B101A"/>
    <w:rsid w:val="1A2A6695"/>
    <w:rsid w:val="1A327A57"/>
    <w:rsid w:val="1A4C2DB9"/>
    <w:rsid w:val="1A4E5290"/>
    <w:rsid w:val="1A524D25"/>
    <w:rsid w:val="1A5326BB"/>
    <w:rsid w:val="1A846F04"/>
    <w:rsid w:val="1A8567D8"/>
    <w:rsid w:val="1A9133CF"/>
    <w:rsid w:val="1A9A04D5"/>
    <w:rsid w:val="1A9A2283"/>
    <w:rsid w:val="1A9E4854"/>
    <w:rsid w:val="1AA50C28"/>
    <w:rsid w:val="1AB86BAD"/>
    <w:rsid w:val="1ABE1B0A"/>
    <w:rsid w:val="1AC35944"/>
    <w:rsid w:val="1AC94917"/>
    <w:rsid w:val="1AD559B1"/>
    <w:rsid w:val="1AE95B6F"/>
    <w:rsid w:val="1AE96D67"/>
    <w:rsid w:val="1AF65F24"/>
    <w:rsid w:val="1B0B13D3"/>
    <w:rsid w:val="1B0E4AD3"/>
    <w:rsid w:val="1B16799C"/>
    <w:rsid w:val="1B330F2F"/>
    <w:rsid w:val="1B5763C6"/>
    <w:rsid w:val="1B642891"/>
    <w:rsid w:val="1B87458F"/>
    <w:rsid w:val="1B941FCA"/>
    <w:rsid w:val="1B9A0316"/>
    <w:rsid w:val="1BA03435"/>
    <w:rsid w:val="1BB05AD7"/>
    <w:rsid w:val="1BB11F7A"/>
    <w:rsid w:val="1BB71370"/>
    <w:rsid w:val="1BC3580A"/>
    <w:rsid w:val="1BCF2401"/>
    <w:rsid w:val="1BD23C9F"/>
    <w:rsid w:val="1BE063BC"/>
    <w:rsid w:val="1BEA0D87"/>
    <w:rsid w:val="1BF73A36"/>
    <w:rsid w:val="1C040794"/>
    <w:rsid w:val="1C0948DA"/>
    <w:rsid w:val="1C220782"/>
    <w:rsid w:val="1C247235"/>
    <w:rsid w:val="1C362480"/>
    <w:rsid w:val="1C3B6E40"/>
    <w:rsid w:val="1C422E87"/>
    <w:rsid w:val="1C5D47E4"/>
    <w:rsid w:val="1C625023"/>
    <w:rsid w:val="1C6A3ED7"/>
    <w:rsid w:val="1CA8683A"/>
    <w:rsid w:val="1CB11B06"/>
    <w:rsid w:val="1CB92302"/>
    <w:rsid w:val="1CBA76A9"/>
    <w:rsid w:val="1CDD28FB"/>
    <w:rsid w:val="1CF32560"/>
    <w:rsid w:val="1CFF6D16"/>
    <w:rsid w:val="1D2D3C63"/>
    <w:rsid w:val="1D37025D"/>
    <w:rsid w:val="1D37431E"/>
    <w:rsid w:val="1D385D84"/>
    <w:rsid w:val="1D423C6F"/>
    <w:rsid w:val="1D474A56"/>
    <w:rsid w:val="1D50131F"/>
    <w:rsid w:val="1D504C6F"/>
    <w:rsid w:val="1D5117A9"/>
    <w:rsid w:val="1D6848BB"/>
    <w:rsid w:val="1D6D0123"/>
    <w:rsid w:val="1D735A7F"/>
    <w:rsid w:val="1D7809C6"/>
    <w:rsid w:val="1D832E7E"/>
    <w:rsid w:val="1D954F84"/>
    <w:rsid w:val="1DA358F3"/>
    <w:rsid w:val="1DA43419"/>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7554E1"/>
    <w:rsid w:val="1E851DE6"/>
    <w:rsid w:val="1E851F92"/>
    <w:rsid w:val="1E8C6387"/>
    <w:rsid w:val="1E942D4E"/>
    <w:rsid w:val="1E9B0CC0"/>
    <w:rsid w:val="1E9E60BA"/>
    <w:rsid w:val="1ED3045A"/>
    <w:rsid w:val="1ED33FB6"/>
    <w:rsid w:val="1ED45854"/>
    <w:rsid w:val="1EDB2E6A"/>
    <w:rsid w:val="1EE2594C"/>
    <w:rsid w:val="1EE70261"/>
    <w:rsid w:val="1EEC4DE1"/>
    <w:rsid w:val="1EFC175F"/>
    <w:rsid w:val="1EFD54D7"/>
    <w:rsid w:val="1F1D3483"/>
    <w:rsid w:val="1F301408"/>
    <w:rsid w:val="1F316F2E"/>
    <w:rsid w:val="1F391C23"/>
    <w:rsid w:val="1F3E4960"/>
    <w:rsid w:val="1F3F018D"/>
    <w:rsid w:val="1F580562"/>
    <w:rsid w:val="1F680BA2"/>
    <w:rsid w:val="1F7237CF"/>
    <w:rsid w:val="1F8F25D3"/>
    <w:rsid w:val="1FA0658E"/>
    <w:rsid w:val="1FA15E62"/>
    <w:rsid w:val="1FB11DD6"/>
    <w:rsid w:val="1FB63CEA"/>
    <w:rsid w:val="1FBD74F6"/>
    <w:rsid w:val="1FBE6A14"/>
    <w:rsid w:val="1FC102B2"/>
    <w:rsid w:val="1FC332FE"/>
    <w:rsid w:val="1FCF5EB1"/>
    <w:rsid w:val="1FDE0E64"/>
    <w:rsid w:val="1FE44373"/>
    <w:rsid w:val="1FE56135"/>
    <w:rsid w:val="1FFB37C4"/>
    <w:rsid w:val="1FFF72A8"/>
    <w:rsid w:val="20000DDB"/>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1843E8"/>
    <w:rsid w:val="223532E5"/>
    <w:rsid w:val="223A645D"/>
    <w:rsid w:val="223B434C"/>
    <w:rsid w:val="22496674"/>
    <w:rsid w:val="225A5A6F"/>
    <w:rsid w:val="225E36D5"/>
    <w:rsid w:val="226B52CC"/>
    <w:rsid w:val="22721469"/>
    <w:rsid w:val="2277734E"/>
    <w:rsid w:val="22806203"/>
    <w:rsid w:val="228329E6"/>
    <w:rsid w:val="22992613"/>
    <w:rsid w:val="229D21E1"/>
    <w:rsid w:val="22A04AF7"/>
    <w:rsid w:val="22A53EBB"/>
    <w:rsid w:val="22AA7723"/>
    <w:rsid w:val="22B440FE"/>
    <w:rsid w:val="22B61C24"/>
    <w:rsid w:val="22C43BD8"/>
    <w:rsid w:val="22CC31F6"/>
    <w:rsid w:val="22CD3833"/>
    <w:rsid w:val="22D447A0"/>
    <w:rsid w:val="22DF3372"/>
    <w:rsid w:val="22E67FB2"/>
    <w:rsid w:val="22E744D4"/>
    <w:rsid w:val="22F97F47"/>
    <w:rsid w:val="22FD1499"/>
    <w:rsid w:val="22FF3DB9"/>
    <w:rsid w:val="230230BC"/>
    <w:rsid w:val="230A4E7E"/>
    <w:rsid w:val="230C3F3A"/>
    <w:rsid w:val="232079E6"/>
    <w:rsid w:val="23305E7B"/>
    <w:rsid w:val="235975E1"/>
    <w:rsid w:val="235B0B5A"/>
    <w:rsid w:val="23734083"/>
    <w:rsid w:val="238E494F"/>
    <w:rsid w:val="239D1668"/>
    <w:rsid w:val="23AD1F7F"/>
    <w:rsid w:val="23C23826"/>
    <w:rsid w:val="23CC2790"/>
    <w:rsid w:val="23CC5331"/>
    <w:rsid w:val="23E26A49"/>
    <w:rsid w:val="23F24EDE"/>
    <w:rsid w:val="23F92711"/>
    <w:rsid w:val="23FC281B"/>
    <w:rsid w:val="24013373"/>
    <w:rsid w:val="24047AC5"/>
    <w:rsid w:val="24392B0D"/>
    <w:rsid w:val="243B4AD7"/>
    <w:rsid w:val="243B597E"/>
    <w:rsid w:val="245331CC"/>
    <w:rsid w:val="24606B5A"/>
    <w:rsid w:val="24620C72"/>
    <w:rsid w:val="24620D02"/>
    <w:rsid w:val="247400B9"/>
    <w:rsid w:val="247E2C16"/>
    <w:rsid w:val="248144B4"/>
    <w:rsid w:val="248C5333"/>
    <w:rsid w:val="249146F7"/>
    <w:rsid w:val="24A361D8"/>
    <w:rsid w:val="24AF5500"/>
    <w:rsid w:val="24DB6334"/>
    <w:rsid w:val="24E16D01"/>
    <w:rsid w:val="24E92B38"/>
    <w:rsid w:val="24F609FE"/>
    <w:rsid w:val="2500362B"/>
    <w:rsid w:val="25076767"/>
    <w:rsid w:val="250A64A0"/>
    <w:rsid w:val="251A6969"/>
    <w:rsid w:val="252C08C4"/>
    <w:rsid w:val="25395579"/>
    <w:rsid w:val="25473008"/>
    <w:rsid w:val="254A1223"/>
    <w:rsid w:val="255D0A7D"/>
    <w:rsid w:val="257C1BAF"/>
    <w:rsid w:val="258E50DA"/>
    <w:rsid w:val="25902C01"/>
    <w:rsid w:val="25903F8C"/>
    <w:rsid w:val="259049AF"/>
    <w:rsid w:val="25926836"/>
    <w:rsid w:val="25A55F80"/>
    <w:rsid w:val="25C570DA"/>
    <w:rsid w:val="25C96113"/>
    <w:rsid w:val="25D37BC8"/>
    <w:rsid w:val="25D843F5"/>
    <w:rsid w:val="25DD3DEF"/>
    <w:rsid w:val="25E35426"/>
    <w:rsid w:val="25ED1E01"/>
    <w:rsid w:val="25FC2044"/>
    <w:rsid w:val="260745FA"/>
    <w:rsid w:val="26084E8D"/>
    <w:rsid w:val="260B390D"/>
    <w:rsid w:val="26105AEF"/>
    <w:rsid w:val="26153106"/>
    <w:rsid w:val="26155808"/>
    <w:rsid w:val="261D7A0F"/>
    <w:rsid w:val="262D48F3"/>
    <w:rsid w:val="2650413E"/>
    <w:rsid w:val="265C2AE3"/>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514A2"/>
    <w:rsid w:val="27E90F93"/>
    <w:rsid w:val="27F92BDD"/>
    <w:rsid w:val="27FD1F46"/>
    <w:rsid w:val="2802234F"/>
    <w:rsid w:val="280451E0"/>
    <w:rsid w:val="280800E2"/>
    <w:rsid w:val="281523B6"/>
    <w:rsid w:val="283006CB"/>
    <w:rsid w:val="28461C9C"/>
    <w:rsid w:val="285043B1"/>
    <w:rsid w:val="285A0AEA"/>
    <w:rsid w:val="28616AD6"/>
    <w:rsid w:val="28726DC3"/>
    <w:rsid w:val="28A25FF1"/>
    <w:rsid w:val="28C52950"/>
    <w:rsid w:val="28CF57EE"/>
    <w:rsid w:val="28D9666D"/>
    <w:rsid w:val="28F97A3C"/>
    <w:rsid w:val="28FB4835"/>
    <w:rsid w:val="2910443B"/>
    <w:rsid w:val="291D0C4F"/>
    <w:rsid w:val="292C2C40"/>
    <w:rsid w:val="2956280D"/>
    <w:rsid w:val="296C128F"/>
    <w:rsid w:val="29707F5B"/>
    <w:rsid w:val="297B3BC8"/>
    <w:rsid w:val="298B7A0C"/>
    <w:rsid w:val="299C1002"/>
    <w:rsid w:val="29C15A7E"/>
    <w:rsid w:val="29C9356B"/>
    <w:rsid w:val="29CC61D1"/>
    <w:rsid w:val="29CE540B"/>
    <w:rsid w:val="29EE2674"/>
    <w:rsid w:val="29F5016E"/>
    <w:rsid w:val="29FC64A0"/>
    <w:rsid w:val="2A025DDB"/>
    <w:rsid w:val="2A1742E0"/>
    <w:rsid w:val="2A1C2CB5"/>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C6654B"/>
    <w:rsid w:val="2BD650E5"/>
    <w:rsid w:val="2BDB26FC"/>
    <w:rsid w:val="2BF043F9"/>
    <w:rsid w:val="2BFB4B4C"/>
    <w:rsid w:val="2BFD08C4"/>
    <w:rsid w:val="2C271265"/>
    <w:rsid w:val="2C2B5CDF"/>
    <w:rsid w:val="2C2E4F21"/>
    <w:rsid w:val="2C372028"/>
    <w:rsid w:val="2C427B51"/>
    <w:rsid w:val="2C6303E3"/>
    <w:rsid w:val="2C646B95"/>
    <w:rsid w:val="2C6A439F"/>
    <w:rsid w:val="2C8A611F"/>
    <w:rsid w:val="2C8B2374"/>
    <w:rsid w:val="2C8B55A5"/>
    <w:rsid w:val="2C9F2AB9"/>
    <w:rsid w:val="2CA156F3"/>
    <w:rsid w:val="2CAA6F54"/>
    <w:rsid w:val="2CC000D3"/>
    <w:rsid w:val="2CC43190"/>
    <w:rsid w:val="2CDF0FD8"/>
    <w:rsid w:val="2CE43832"/>
    <w:rsid w:val="2CFC5020"/>
    <w:rsid w:val="2D0D16F2"/>
    <w:rsid w:val="2D1A7254"/>
    <w:rsid w:val="2D202CAF"/>
    <w:rsid w:val="2D5A5C8E"/>
    <w:rsid w:val="2D6230D5"/>
    <w:rsid w:val="2D662A04"/>
    <w:rsid w:val="2D766B80"/>
    <w:rsid w:val="2D89698A"/>
    <w:rsid w:val="2D9C5EBB"/>
    <w:rsid w:val="2DA03BFD"/>
    <w:rsid w:val="2DA14432"/>
    <w:rsid w:val="2DB87959"/>
    <w:rsid w:val="2DC93154"/>
    <w:rsid w:val="2DCC57E2"/>
    <w:rsid w:val="2E141EF5"/>
    <w:rsid w:val="2E2975BB"/>
    <w:rsid w:val="2E3B56D4"/>
    <w:rsid w:val="2E5362D0"/>
    <w:rsid w:val="2E704C40"/>
    <w:rsid w:val="2E7C01C6"/>
    <w:rsid w:val="2E81758A"/>
    <w:rsid w:val="2E912671"/>
    <w:rsid w:val="2E9F5C62"/>
    <w:rsid w:val="2EB01C1E"/>
    <w:rsid w:val="2EB37960"/>
    <w:rsid w:val="2EB4413C"/>
    <w:rsid w:val="2EC35DF5"/>
    <w:rsid w:val="2EC61441"/>
    <w:rsid w:val="2ECA4DBA"/>
    <w:rsid w:val="2ED753FC"/>
    <w:rsid w:val="2EEB534C"/>
    <w:rsid w:val="2EFE507F"/>
    <w:rsid w:val="2F01691D"/>
    <w:rsid w:val="2F1C6E0B"/>
    <w:rsid w:val="2F200EC4"/>
    <w:rsid w:val="2F2D14C0"/>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85D41"/>
    <w:rsid w:val="31097E53"/>
    <w:rsid w:val="312225E1"/>
    <w:rsid w:val="31411253"/>
    <w:rsid w:val="314834DC"/>
    <w:rsid w:val="315A40C3"/>
    <w:rsid w:val="31646916"/>
    <w:rsid w:val="31754028"/>
    <w:rsid w:val="317909ED"/>
    <w:rsid w:val="317F4625"/>
    <w:rsid w:val="31801FDE"/>
    <w:rsid w:val="318F0210"/>
    <w:rsid w:val="319770C5"/>
    <w:rsid w:val="319A665C"/>
    <w:rsid w:val="31A84A69"/>
    <w:rsid w:val="31B77767"/>
    <w:rsid w:val="31B91DAE"/>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03F0F"/>
    <w:rsid w:val="32B1065A"/>
    <w:rsid w:val="32C60367"/>
    <w:rsid w:val="32C655EC"/>
    <w:rsid w:val="32C75F0B"/>
    <w:rsid w:val="32E0684A"/>
    <w:rsid w:val="32E26A66"/>
    <w:rsid w:val="32E569E4"/>
    <w:rsid w:val="32FD41BB"/>
    <w:rsid w:val="330B1B18"/>
    <w:rsid w:val="330B1B51"/>
    <w:rsid w:val="331634CB"/>
    <w:rsid w:val="33182C7D"/>
    <w:rsid w:val="33460DA3"/>
    <w:rsid w:val="335039CF"/>
    <w:rsid w:val="335631BA"/>
    <w:rsid w:val="33574D5E"/>
    <w:rsid w:val="335A1F1F"/>
    <w:rsid w:val="33615433"/>
    <w:rsid w:val="33686F6B"/>
    <w:rsid w:val="33745910"/>
    <w:rsid w:val="337E053C"/>
    <w:rsid w:val="33811DDB"/>
    <w:rsid w:val="33813B89"/>
    <w:rsid w:val="338626B9"/>
    <w:rsid w:val="33926F77"/>
    <w:rsid w:val="339935C8"/>
    <w:rsid w:val="33CA3782"/>
    <w:rsid w:val="33D463AE"/>
    <w:rsid w:val="33DC7D0F"/>
    <w:rsid w:val="33E52369"/>
    <w:rsid w:val="33EC5604"/>
    <w:rsid w:val="33F26834"/>
    <w:rsid w:val="340A0FBF"/>
    <w:rsid w:val="340C004F"/>
    <w:rsid w:val="341D3225"/>
    <w:rsid w:val="342F4973"/>
    <w:rsid w:val="34475066"/>
    <w:rsid w:val="345E21E9"/>
    <w:rsid w:val="346A6D13"/>
    <w:rsid w:val="346F7C09"/>
    <w:rsid w:val="3479582F"/>
    <w:rsid w:val="34806536"/>
    <w:rsid w:val="3489743E"/>
    <w:rsid w:val="3491604D"/>
    <w:rsid w:val="349A41EB"/>
    <w:rsid w:val="34AE30A3"/>
    <w:rsid w:val="34B840FA"/>
    <w:rsid w:val="34B855C5"/>
    <w:rsid w:val="34BE4316"/>
    <w:rsid w:val="34C208FD"/>
    <w:rsid w:val="34C51E53"/>
    <w:rsid w:val="34D97170"/>
    <w:rsid w:val="34DA5C46"/>
    <w:rsid w:val="34DC7A0A"/>
    <w:rsid w:val="34E90D6E"/>
    <w:rsid w:val="34EB7E44"/>
    <w:rsid w:val="35040F15"/>
    <w:rsid w:val="35270760"/>
    <w:rsid w:val="35284C04"/>
    <w:rsid w:val="35507CB7"/>
    <w:rsid w:val="355A0B35"/>
    <w:rsid w:val="358A766C"/>
    <w:rsid w:val="35A864EE"/>
    <w:rsid w:val="35F5085E"/>
    <w:rsid w:val="35FA5E74"/>
    <w:rsid w:val="360F390F"/>
    <w:rsid w:val="36107446"/>
    <w:rsid w:val="361433DA"/>
    <w:rsid w:val="3620006C"/>
    <w:rsid w:val="36392E40"/>
    <w:rsid w:val="363D22FB"/>
    <w:rsid w:val="36716136"/>
    <w:rsid w:val="368D0151"/>
    <w:rsid w:val="36B01525"/>
    <w:rsid w:val="36C344B8"/>
    <w:rsid w:val="36C47A0C"/>
    <w:rsid w:val="36D65D78"/>
    <w:rsid w:val="36E0150E"/>
    <w:rsid w:val="36EC3A0F"/>
    <w:rsid w:val="371234AD"/>
    <w:rsid w:val="371C0798"/>
    <w:rsid w:val="372B09DB"/>
    <w:rsid w:val="372E4027"/>
    <w:rsid w:val="37313B18"/>
    <w:rsid w:val="3757357E"/>
    <w:rsid w:val="375A2EF1"/>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0197F"/>
    <w:rsid w:val="38192D95"/>
    <w:rsid w:val="38210D36"/>
    <w:rsid w:val="38242C07"/>
    <w:rsid w:val="3824471B"/>
    <w:rsid w:val="382B67B9"/>
    <w:rsid w:val="383733B0"/>
    <w:rsid w:val="383D728C"/>
    <w:rsid w:val="3882287D"/>
    <w:rsid w:val="38897362"/>
    <w:rsid w:val="38975BFC"/>
    <w:rsid w:val="38AF194E"/>
    <w:rsid w:val="38B119C0"/>
    <w:rsid w:val="38CF2EE1"/>
    <w:rsid w:val="38D330D8"/>
    <w:rsid w:val="38F1355F"/>
    <w:rsid w:val="38F94373"/>
    <w:rsid w:val="3905525C"/>
    <w:rsid w:val="39292CF8"/>
    <w:rsid w:val="39293000"/>
    <w:rsid w:val="393E000D"/>
    <w:rsid w:val="398B39B3"/>
    <w:rsid w:val="398C650D"/>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C43BB4"/>
    <w:rsid w:val="3AD273C0"/>
    <w:rsid w:val="3ADB6274"/>
    <w:rsid w:val="3AE27603"/>
    <w:rsid w:val="3B007A89"/>
    <w:rsid w:val="3B0312A1"/>
    <w:rsid w:val="3B097910"/>
    <w:rsid w:val="3B1479D8"/>
    <w:rsid w:val="3B1E43B3"/>
    <w:rsid w:val="3B331C0C"/>
    <w:rsid w:val="3B3911ED"/>
    <w:rsid w:val="3B3B6D13"/>
    <w:rsid w:val="3B5A188F"/>
    <w:rsid w:val="3B9130CB"/>
    <w:rsid w:val="3BAA7239"/>
    <w:rsid w:val="3BB5367C"/>
    <w:rsid w:val="3BBC1BB7"/>
    <w:rsid w:val="3BC66F24"/>
    <w:rsid w:val="3BDF14CC"/>
    <w:rsid w:val="3BF84C04"/>
    <w:rsid w:val="3C0F3D21"/>
    <w:rsid w:val="3C125CC6"/>
    <w:rsid w:val="3C177F2C"/>
    <w:rsid w:val="3C1F5051"/>
    <w:rsid w:val="3C3003FC"/>
    <w:rsid w:val="3C4223BF"/>
    <w:rsid w:val="3C4435B7"/>
    <w:rsid w:val="3C461E13"/>
    <w:rsid w:val="3C4D6CFE"/>
    <w:rsid w:val="3C651AAD"/>
    <w:rsid w:val="3C771FCD"/>
    <w:rsid w:val="3C836BC3"/>
    <w:rsid w:val="3CA11F6F"/>
    <w:rsid w:val="3CAE3557"/>
    <w:rsid w:val="3CE03C5D"/>
    <w:rsid w:val="3CE65E70"/>
    <w:rsid w:val="3CEB75EB"/>
    <w:rsid w:val="3CEC4769"/>
    <w:rsid w:val="3CFB49AC"/>
    <w:rsid w:val="3D1D247A"/>
    <w:rsid w:val="3D2869E4"/>
    <w:rsid w:val="3D403EC8"/>
    <w:rsid w:val="3D406863"/>
    <w:rsid w:val="3D6724CA"/>
    <w:rsid w:val="3D944E21"/>
    <w:rsid w:val="3D9F50BB"/>
    <w:rsid w:val="3DAE1A1E"/>
    <w:rsid w:val="3DB37034"/>
    <w:rsid w:val="3DB80AEF"/>
    <w:rsid w:val="3DC72AE0"/>
    <w:rsid w:val="3DC833B9"/>
    <w:rsid w:val="3DD45612"/>
    <w:rsid w:val="3DE47534"/>
    <w:rsid w:val="3DF243FA"/>
    <w:rsid w:val="3DF610C4"/>
    <w:rsid w:val="3E371A14"/>
    <w:rsid w:val="3E685621"/>
    <w:rsid w:val="3E6A0904"/>
    <w:rsid w:val="3E7569E0"/>
    <w:rsid w:val="3E772758"/>
    <w:rsid w:val="3E8917EA"/>
    <w:rsid w:val="3E8B64A7"/>
    <w:rsid w:val="3E9C5D1B"/>
    <w:rsid w:val="3EA9723B"/>
    <w:rsid w:val="3EB47508"/>
    <w:rsid w:val="3EBB0897"/>
    <w:rsid w:val="3EBC460F"/>
    <w:rsid w:val="3ECD2378"/>
    <w:rsid w:val="3ED100BA"/>
    <w:rsid w:val="3EE80F60"/>
    <w:rsid w:val="3EE92624"/>
    <w:rsid w:val="3F122E5B"/>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CF23D7"/>
    <w:rsid w:val="40D53766"/>
    <w:rsid w:val="40DA6FCE"/>
    <w:rsid w:val="40DB5678"/>
    <w:rsid w:val="40E65CAF"/>
    <w:rsid w:val="40F51B9F"/>
    <w:rsid w:val="41011E2C"/>
    <w:rsid w:val="41061B71"/>
    <w:rsid w:val="41175B2C"/>
    <w:rsid w:val="41197AF6"/>
    <w:rsid w:val="41247C36"/>
    <w:rsid w:val="41270465"/>
    <w:rsid w:val="412F2E76"/>
    <w:rsid w:val="413277CA"/>
    <w:rsid w:val="413433F5"/>
    <w:rsid w:val="41572C26"/>
    <w:rsid w:val="415A08CA"/>
    <w:rsid w:val="415A5644"/>
    <w:rsid w:val="416C4059"/>
    <w:rsid w:val="41717932"/>
    <w:rsid w:val="41727207"/>
    <w:rsid w:val="418112D1"/>
    <w:rsid w:val="419C5ECB"/>
    <w:rsid w:val="41A17EF9"/>
    <w:rsid w:val="41A94F83"/>
    <w:rsid w:val="41BD4926"/>
    <w:rsid w:val="41C4412D"/>
    <w:rsid w:val="41C9544B"/>
    <w:rsid w:val="41DA54D8"/>
    <w:rsid w:val="41DD0B24"/>
    <w:rsid w:val="41DD28D2"/>
    <w:rsid w:val="41EB73F9"/>
    <w:rsid w:val="420662CD"/>
    <w:rsid w:val="420D2CD3"/>
    <w:rsid w:val="4210609D"/>
    <w:rsid w:val="422228B7"/>
    <w:rsid w:val="42497F67"/>
    <w:rsid w:val="4252670B"/>
    <w:rsid w:val="425639AF"/>
    <w:rsid w:val="425A4C3C"/>
    <w:rsid w:val="425D7EB7"/>
    <w:rsid w:val="42631478"/>
    <w:rsid w:val="42733A53"/>
    <w:rsid w:val="42836EE3"/>
    <w:rsid w:val="42945242"/>
    <w:rsid w:val="42B0448A"/>
    <w:rsid w:val="42B74801"/>
    <w:rsid w:val="42CD5FDA"/>
    <w:rsid w:val="42DE6C14"/>
    <w:rsid w:val="42EF5206"/>
    <w:rsid w:val="42FC322C"/>
    <w:rsid w:val="42FF2D1C"/>
    <w:rsid w:val="43114B39"/>
    <w:rsid w:val="4320516C"/>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A7E0D"/>
    <w:rsid w:val="442962A2"/>
    <w:rsid w:val="44310E3A"/>
    <w:rsid w:val="44346C2E"/>
    <w:rsid w:val="443C39E7"/>
    <w:rsid w:val="44551C28"/>
    <w:rsid w:val="447C0AC8"/>
    <w:rsid w:val="44823C05"/>
    <w:rsid w:val="448E4357"/>
    <w:rsid w:val="44A1408B"/>
    <w:rsid w:val="44A14EEC"/>
    <w:rsid w:val="44A75419"/>
    <w:rsid w:val="44AB53A5"/>
    <w:rsid w:val="44B03DEF"/>
    <w:rsid w:val="44C24001"/>
    <w:rsid w:val="44C47D79"/>
    <w:rsid w:val="44C85ABB"/>
    <w:rsid w:val="44C9538F"/>
    <w:rsid w:val="44DA2E3E"/>
    <w:rsid w:val="44DF4BB3"/>
    <w:rsid w:val="44E126D9"/>
    <w:rsid w:val="44F21B4E"/>
    <w:rsid w:val="44F543D6"/>
    <w:rsid w:val="4504730F"/>
    <w:rsid w:val="45076279"/>
    <w:rsid w:val="45137D99"/>
    <w:rsid w:val="451C5046"/>
    <w:rsid w:val="451E1B7F"/>
    <w:rsid w:val="453A003B"/>
    <w:rsid w:val="45440EBA"/>
    <w:rsid w:val="455273CF"/>
    <w:rsid w:val="4557299B"/>
    <w:rsid w:val="455F7AA2"/>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BD0F24"/>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DC362C"/>
    <w:rsid w:val="47E0311C"/>
    <w:rsid w:val="47E2071B"/>
    <w:rsid w:val="47E30E5E"/>
    <w:rsid w:val="47F5097B"/>
    <w:rsid w:val="480D3A23"/>
    <w:rsid w:val="484C255F"/>
    <w:rsid w:val="485458B8"/>
    <w:rsid w:val="485A4042"/>
    <w:rsid w:val="48650DF8"/>
    <w:rsid w:val="486C6BDF"/>
    <w:rsid w:val="48783354"/>
    <w:rsid w:val="48BF2D31"/>
    <w:rsid w:val="48D26E94"/>
    <w:rsid w:val="48D54374"/>
    <w:rsid w:val="48E24C72"/>
    <w:rsid w:val="48E409EA"/>
    <w:rsid w:val="490B7FC6"/>
    <w:rsid w:val="4913307D"/>
    <w:rsid w:val="49264070"/>
    <w:rsid w:val="4936213F"/>
    <w:rsid w:val="49494CF1"/>
    <w:rsid w:val="494D658F"/>
    <w:rsid w:val="496E4757"/>
    <w:rsid w:val="496E6505"/>
    <w:rsid w:val="497955D6"/>
    <w:rsid w:val="497A30FC"/>
    <w:rsid w:val="498543AF"/>
    <w:rsid w:val="49885819"/>
    <w:rsid w:val="499D6A4B"/>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EF5FF6"/>
    <w:rsid w:val="4AF173EE"/>
    <w:rsid w:val="4AFA5C0B"/>
    <w:rsid w:val="4B036976"/>
    <w:rsid w:val="4B04252C"/>
    <w:rsid w:val="4B117A90"/>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706AC"/>
    <w:rsid w:val="4CAF64C7"/>
    <w:rsid w:val="4CBE5F20"/>
    <w:rsid w:val="4CC64F56"/>
    <w:rsid w:val="4CDC3ABD"/>
    <w:rsid w:val="4CDE27FE"/>
    <w:rsid w:val="4CF96E79"/>
    <w:rsid w:val="4D0813FE"/>
    <w:rsid w:val="4D0C17A4"/>
    <w:rsid w:val="4D135D42"/>
    <w:rsid w:val="4D14653B"/>
    <w:rsid w:val="4D1E40D6"/>
    <w:rsid w:val="4D3E64AE"/>
    <w:rsid w:val="4D4044C1"/>
    <w:rsid w:val="4D534390"/>
    <w:rsid w:val="4D537EEC"/>
    <w:rsid w:val="4D643721"/>
    <w:rsid w:val="4D722A68"/>
    <w:rsid w:val="4D921BEF"/>
    <w:rsid w:val="4D9C1893"/>
    <w:rsid w:val="4D9C7616"/>
    <w:rsid w:val="4DAA55B6"/>
    <w:rsid w:val="4DAC584E"/>
    <w:rsid w:val="4DC001BB"/>
    <w:rsid w:val="4DC6337E"/>
    <w:rsid w:val="4DCD7C9F"/>
    <w:rsid w:val="4DD173D4"/>
    <w:rsid w:val="4DE20ABB"/>
    <w:rsid w:val="4E0472EF"/>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45466"/>
    <w:rsid w:val="4ED20E0E"/>
    <w:rsid w:val="4ED35788"/>
    <w:rsid w:val="4ED658D5"/>
    <w:rsid w:val="4EDE5EDB"/>
    <w:rsid w:val="4EE62EFB"/>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A1CA8"/>
    <w:rsid w:val="516C0599"/>
    <w:rsid w:val="5176689F"/>
    <w:rsid w:val="51786173"/>
    <w:rsid w:val="5181106C"/>
    <w:rsid w:val="518E282D"/>
    <w:rsid w:val="51943514"/>
    <w:rsid w:val="51A60F32"/>
    <w:rsid w:val="51BC69A8"/>
    <w:rsid w:val="51BD05B1"/>
    <w:rsid w:val="51C71246"/>
    <w:rsid w:val="51CF4737"/>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B3C11"/>
    <w:rsid w:val="535D0820"/>
    <w:rsid w:val="53654C33"/>
    <w:rsid w:val="536A3A27"/>
    <w:rsid w:val="5371017A"/>
    <w:rsid w:val="53745BC5"/>
    <w:rsid w:val="539F3719"/>
    <w:rsid w:val="53A1680B"/>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03911"/>
    <w:rsid w:val="55825812"/>
    <w:rsid w:val="558C6691"/>
    <w:rsid w:val="559F4A93"/>
    <w:rsid w:val="55A03EEB"/>
    <w:rsid w:val="55A106D3"/>
    <w:rsid w:val="55B31E70"/>
    <w:rsid w:val="55C220B3"/>
    <w:rsid w:val="55C464D0"/>
    <w:rsid w:val="55D63DB0"/>
    <w:rsid w:val="55E069DD"/>
    <w:rsid w:val="55F35DD7"/>
    <w:rsid w:val="55FC3817"/>
    <w:rsid w:val="55FE4260"/>
    <w:rsid w:val="55FE65AD"/>
    <w:rsid w:val="56071385"/>
    <w:rsid w:val="560C0209"/>
    <w:rsid w:val="560C1580"/>
    <w:rsid w:val="561346BC"/>
    <w:rsid w:val="561B4C52"/>
    <w:rsid w:val="562D7E5B"/>
    <w:rsid w:val="56310ACE"/>
    <w:rsid w:val="563665FD"/>
    <w:rsid w:val="56430D79"/>
    <w:rsid w:val="564E7DEA"/>
    <w:rsid w:val="56553C8D"/>
    <w:rsid w:val="56554CD5"/>
    <w:rsid w:val="566969D2"/>
    <w:rsid w:val="567A7228"/>
    <w:rsid w:val="56892BD1"/>
    <w:rsid w:val="568B2013"/>
    <w:rsid w:val="568F2E82"/>
    <w:rsid w:val="569958AC"/>
    <w:rsid w:val="56AE3C10"/>
    <w:rsid w:val="56B57E6A"/>
    <w:rsid w:val="56C14EBA"/>
    <w:rsid w:val="56C60DF5"/>
    <w:rsid w:val="56CA2FF2"/>
    <w:rsid w:val="56CC4B94"/>
    <w:rsid w:val="56D878BC"/>
    <w:rsid w:val="56E16569"/>
    <w:rsid w:val="56E57C75"/>
    <w:rsid w:val="56E61DD1"/>
    <w:rsid w:val="56E66275"/>
    <w:rsid w:val="56E72AF1"/>
    <w:rsid w:val="56ED5628"/>
    <w:rsid w:val="56F75D8C"/>
    <w:rsid w:val="56F91B04"/>
    <w:rsid w:val="56FF2C59"/>
    <w:rsid w:val="57011372"/>
    <w:rsid w:val="57014E5D"/>
    <w:rsid w:val="57081D47"/>
    <w:rsid w:val="571921A6"/>
    <w:rsid w:val="571E61B9"/>
    <w:rsid w:val="572B4892"/>
    <w:rsid w:val="573A2934"/>
    <w:rsid w:val="57430FD1"/>
    <w:rsid w:val="57452DBD"/>
    <w:rsid w:val="574B7E86"/>
    <w:rsid w:val="575319D5"/>
    <w:rsid w:val="5765441B"/>
    <w:rsid w:val="576B5658"/>
    <w:rsid w:val="57753689"/>
    <w:rsid w:val="57803FD4"/>
    <w:rsid w:val="57882E88"/>
    <w:rsid w:val="57884570"/>
    <w:rsid w:val="579D6934"/>
    <w:rsid w:val="57A001D2"/>
    <w:rsid w:val="57CC4BC2"/>
    <w:rsid w:val="57D03C14"/>
    <w:rsid w:val="57D46DF8"/>
    <w:rsid w:val="57DA54C5"/>
    <w:rsid w:val="57F56770"/>
    <w:rsid w:val="581D12E4"/>
    <w:rsid w:val="582E2E96"/>
    <w:rsid w:val="58457873"/>
    <w:rsid w:val="58515970"/>
    <w:rsid w:val="585D5314"/>
    <w:rsid w:val="587B2608"/>
    <w:rsid w:val="58860AD6"/>
    <w:rsid w:val="588A774A"/>
    <w:rsid w:val="58AA6A2D"/>
    <w:rsid w:val="58AF3D89"/>
    <w:rsid w:val="58B72B6F"/>
    <w:rsid w:val="58BB6ADE"/>
    <w:rsid w:val="58BC256E"/>
    <w:rsid w:val="58E660B8"/>
    <w:rsid w:val="58E73ACB"/>
    <w:rsid w:val="58E93DFA"/>
    <w:rsid w:val="58EF7663"/>
    <w:rsid w:val="58F509F1"/>
    <w:rsid w:val="58F5165F"/>
    <w:rsid w:val="59024C64"/>
    <w:rsid w:val="592F35E4"/>
    <w:rsid w:val="59484CB5"/>
    <w:rsid w:val="59515777"/>
    <w:rsid w:val="59590F80"/>
    <w:rsid w:val="595C281E"/>
    <w:rsid w:val="5979517E"/>
    <w:rsid w:val="5988716F"/>
    <w:rsid w:val="598C4077"/>
    <w:rsid w:val="599A0E1B"/>
    <w:rsid w:val="59A3044D"/>
    <w:rsid w:val="59C75EEA"/>
    <w:rsid w:val="59D14FBA"/>
    <w:rsid w:val="59D65055"/>
    <w:rsid w:val="59E44CEE"/>
    <w:rsid w:val="59E577B9"/>
    <w:rsid w:val="59EB1740"/>
    <w:rsid w:val="59F12F67"/>
    <w:rsid w:val="59F56717"/>
    <w:rsid w:val="5A2F3A8F"/>
    <w:rsid w:val="5A4412E8"/>
    <w:rsid w:val="5A4A47BE"/>
    <w:rsid w:val="5A4E286A"/>
    <w:rsid w:val="5A5F372F"/>
    <w:rsid w:val="5A6A4AC7"/>
    <w:rsid w:val="5A751DEA"/>
    <w:rsid w:val="5A76346C"/>
    <w:rsid w:val="5A7D2A4C"/>
    <w:rsid w:val="5A874CB2"/>
    <w:rsid w:val="5A8836A8"/>
    <w:rsid w:val="5AAB580B"/>
    <w:rsid w:val="5AB3646E"/>
    <w:rsid w:val="5AC95C92"/>
    <w:rsid w:val="5ADF1011"/>
    <w:rsid w:val="5AE91E90"/>
    <w:rsid w:val="5AF82F5C"/>
    <w:rsid w:val="5B4075E1"/>
    <w:rsid w:val="5B4377F2"/>
    <w:rsid w:val="5B484E08"/>
    <w:rsid w:val="5B6211F1"/>
    <w:rsid w:val="5B726329"/>
    <w:rsid w:val="5B777C46"/>
    <w:rsid w:val="5B7976B8"/>
    <w:rsid w:val="5B7F3AD9"/>
    <w:rsid w:val="5B9718EC"/>
    <w:rsid w:val="5BA64C84"/>
    <w:rsid w:val="5BC326E1"/>
    <w:rsid w:val="5BD4669C"/>
    <w:rsid w:val="5BE57430"/>
    <w:rsid w:val="5BEF1728"/>
    <w:rsid w:val="5BFF4980"/>
    <w:rsid w:val="5C0D1BAE"/>
    <w:rsid w:val="5C2E2250"/>
    <w:rsid w:val="5C384E7D"/>
    <w:rsid w:val="5C3B037A"/>
    <w:rsid w:val="5C433822"/>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CFF1E3E"/>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2C3853"/>
    <w:rsid w:val="5E31427A"/>
    <w:rsid w:val="5E7423B8"/>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5FC2741F"/>
    <w:rsid w:val="5FC83656"/>
    <w:rsid w:val="5FEE344C"/>
    <w:rsid w:val="5FFA40B3"/>
    <w:rsid w:val="60000E7D"/>
    <w:rsid w:val="600357A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AF30EA"/>
    <w:rsid w:val="61BF4E79"/>
    <w:rsid w:val="61CD36E8"/>
    <w:rsid w:val="61D13262"/>
    <w:rsid w:val="61F01D56"/>
    <w:rsid w:val="61F21F72"/>
    <w:rsid w:val="61F5613D"/>
    <w:rsid w:val="620B6B90"/>
    <w:rsid w:val="621F43E9"/>
    <w:rsid w:val="62213D68"/>
    <w:rsid w:val="622240E6"/>
    <w:rsid w:val="623205C0"/>
    <w:rsid w:val="62681C7C"/>
    <w:rsid w:val="6271270B"/>
    <w:rsid w:val="62712E97"/>
    <w:rsid w:val="627771D2"/>
    <w:rsid w:val="627961EF"/>
    <w:rsid w:val="627D6C42"/>
    <w:rsid w:val="62903F63"/>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9C3F43"/>
    <w:rsid w:val="63A7476C"/>
    <w:rsid w:val="63BE02CF"/>
    <w:rsid w:val="63CD2869"/>
    <w:rsid w:val="63CE4319"/>
    <w:rsid w:val="63D47B81"/>
    <w:rsid w:val="63DC6A36"/>
    <w:rsid w:val="63F57AF7"/>
    <w:rsid w:val="64000954"/>
    <w:rsid w:val="641E2BAA"/>
    <w:rsid w:val="64236413"/>
    <w:rsid w:val="64264155"/>
    <w:rsid w:val="64292F48"/>
    <w:rsid w:val="64302B47"/>
    <w:rsid w:val="644545DB"/>
    <w:rsid w:val="644D018C"/>
    <w:rsid w:val="644D16E1"/>
    <w:rsid w:val="645D7747"/>
    <w:rsid w:val="64630F05"/>
    <w:rsid w:val="64634C83"/>
    <w:rsid w:val="646556C4"/>
    <w:rsid w:val="6468651B"/>
    <w:rsid w:val="647C6CC8"/>
    <w:rsid w:val="648A6492"/>
    <w:rsid w:val="648F76C5"/>
    <w:rsid w:val="64930081"/>
    <w:rsid w:val="64A86918"/>
    <w:rsid w:val="64AA08E2"/>
    <w:rsid w:val="64B250E9"/>
    <w:rsid w:val="64BC5660"/>
    <w:rsid w:val="64CA796F"/>
    <w:rsid w:val="64E24E57"/>
    <w:rsid w:val="64E6250D"/>
    <w:rsid w:val="64EF09EB"/>
    <w:rsid w:val="64F03C88"/>
    <w:rsid w:val="64FE29DC"/>
    <w:rsid w:val="65024102"/>
    <w:rsid w:val="652B0042"/>
    <w:rsid w:val="654301AA"/>
    <w:rsid w:val="6545060B"/>
    <w:rsid w:val="654E74BF"/>
    <w:rsid w:val="65523ECE"/>
    <w:rsid w:val="655D4F21"/>
    <w:rsid w:val="655F03DC"/>
    <w:rsid w:val="65624D19"/>
    <w:rsid w:val="65715970"/>
    <w:rsid w:val="6578453C"/>
    <w:rsid w:val="657949A4"/>
    <w:rsid w:val="657A2C58"/>
    <w:rsid w:val="657D1B52"/>
    <w:rsid w:val="65A17F37"/>
    <w:rsid w:val="65B2766A"/>
    <w:rsid w:val="65BD7A51"/>
    <w:rsid w:val="65CF1649"/>
    <w:rsid w:val="65E61ACD"/>
    <w:rsid w:val="65E6594A"/>
    <w:rsid w:val="66074602"/>
    <w:rsid w:val="66083B12"/>
    <w:rsid w:val="66124991"/>
    <w:rsid w:val="66154481"/>
    <w:rsid w:val="661632D0"/>
    <w:rsid w:val="6626231F"/>
    <w:rsid w:val="663F14FE"/>
    <w:rsid w:val="66401AEA"/>
    <w:rsid w:val="664B1C51"/>
    <w:rsid w:val="66647655"/>
    <w:rsid w:val="66650F64"/>
    <w:rsid w:val="667165ED"/>
    <w:rsid w:val="66846E4D"/>
    <w:rsid w:val="66860EDB"/>
    <w:rsid w:val="66B71094"/>
    <w:rsid w:val="66CA3897"/>
    <w:rsid w:val="66D94BF1"/>
    <w:rsid w:val="66FA2295"/>
    <w:rsid w:val="673E5311"/>
    <w:rsid w:val="673F7A07"/>
    <w:rsid w:val="674023B2"/>
    <w:rsid w:val="67452434"/>
    <w:rsid w:val="67495550"/>
    <w:rsid w:val="674A63AC"/>
    <w:rsid w:val="674C076E"/>
    <w:rsid w:val="67564D51"/>
    <w:rsid w:val="6773320D"/>
    <w:rsid w:val="677D408C"/>
    <w:rsid w:val="679A2E90"/>
    <w:rsid w:val="679B09B6"/>
    <w:rsid w:val="679D64DC"/>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8E4077"/>
    <w:rsid w:val="689B4C22"/>
    <w:rsid w:val="68A22F22"/>
    <w:rsid w:val="68A94512"/>
    <w:rsid w:val="68B43ADD"/>
    <w:rsid w:val="68C47A98"/>
    <w:rsid w:val="68CA3301"/>
    <w:rsid w:val="68D0468F"/>
    <w:rsid w:val="68DE6DAC"/>
    <w:rsid w:val="68E16D17"/>
    <w:rsid w:val="68EC14C9"/>
    <w:rsid w:val="68FB7FBE"/>
    <w:rsid w:val="68FE74B6"/>
    <w:rsid w:val="69186811"/>
    <w:rsid w:val="691F431B"/>
    <w:rsid w:val="693469CC"/>
    <w:rsid w:val="693A1AFB"/>
    <w:rsid w:val="694B1A24"/>
    <w:rsid w:val="694B2B30"/>
    <w:rsid w:val="69564B94"/>
    <w:rsid w:val="69612C0D"/>
    <w:rsid w:val="696A3B29"/>
    <w:rsid w:val="69780FAF"/>
    <w:rsid w:val="698C05B6"/>
    <w:rsid w:val="698D7617"/>
    <w:rsid w:val="699047EB"/>
    <w:rsid w:val="69907B99"/>
    <w:rsid w:val="699A681B"/>
    <w:rsid w:val="69C42446"/>
    <w:rsid w:val="69CA7330"/>
    <w:rsid w:val="69CB7DEE"/>
    <w:rsid w:val="69DD52B6"/>
    <w:rsid w:val="69EA2C18"/>
    <w:rsid w:val="69EA35AF"/>
    <w:rsid w:val="69EE17DA"/>
    <w:rsid w:val="69F21433"/>
    <w:rsid w:val="69F61ED3"/>
    <w:rsid w:val="69FD74BC"/>
    <w:rsid w:val="6A0665BA"/>
    <w:rsid w:val="6A1862EE"/>
    <w:rsid w:val="6A243D9B"/>
    <w:rsid w:val="6A282268"/>
    <w:rsid w:val="6A316E44"/>
    <w:rsid w:val="6A350C4E"/>
    <w:rsid w:val="6A3662D5"/>
    <w:rsid w:val="6A4F12FC"/>
    <w:rsid w:val="6A5E3F97"/>
    <w:rsid w:val="6A6A39AA"/>
    <w:rsid w:val="6A737518"/>
    <w:rsid w:val="6A854FE1"/>
    <w:rsid w:val="6A960E91"/>
    <w:rsid w:val="6ABA028C"/>
    <w:rsid w:val="6AC917D7"/>
    <w:rsid w:val="6AD20C96"/>
    <w:rsid w:val="6ADB7A47"/>
    <w:rsid w:val="6AEC1C54"/>
    <w:rsid w:val="6AEE0ADF"/>
    <w:rsid w:val="6AF04CEE"/>
    <w:rsid w:val="6AF15F5D"/>
    <w:rsid w:val="6AFB296E"/>
    <w:rsid w:val="6B2A63D6"/>
    <w:rsid w:val="6B2C2051"/>
    <w:rsid w:val="6B2F1B41"/>
    <w:rsid w:val="6B447698"/>
    <w:rsid w:val="6B6028D6"/>
    <w:rsid w:val="6B621F16"/>
    <w:rsid w:val="6B760024"/>
    <w:rsid w:val="6B792D2F"/>
    <w:rsid w:val="6B7C0283"/>
    <w:rsid w:val="6B950751"/>
    <w:rsid w:val="6BA73E07"/>
    <w:rsid w:val="6BAD2A66"/>
    <w:rsid w:val="6BBD0EFB"/>
    <w:rsid w:val="6BBD1287"/>
    <w:rsid w:val="6BDB4A7B"/>
    <w:rsid w:val="6C006066"/>
    <w:rsid w:val="6C5374D3"/>
    <w:rsid w:val="6C7227EB"/>
    <w:rsid w:val="6C7672FB"/>
    <w:rsid w:val="6C830396"/>
    <w:rsid w:val="6C8D2FC3"/>
    <w:rsid w:val="6CA00246"/>
    <w:rsid w:val="6CB06CB1"/>
    <w:rsid w:val="6CB542C8"/>
    <w:rsid w:val="6CB7427B"/>
    <w:rsid w:val="6CB9129A"/>
    <w:rsid w:val="6CCA77FD"/>
    <w:rsid w:val="6CD0133F"/>
    <w:rsid w:val="6CF17210"/>
    <w:rsid w:val="6CF44DF0"/>
    <w:rsid w:val="6CFD2FB2"/>
    <w:rsid w:val="6D1D2803"/>
    <w:rsid w:val="6D3A657B"/>
    <w:rsid w:val="6D482201"/>
    <w:rsid w:val="6D527D69"/>
    <w:rsid w:val="6D631F76"/>
    <w:rsid w:val="6D6535F8"/>
    <w:rsid w:val="6DC12526"/>
    <w:rsid w:val="6DC158EC"/>
    <w:rsid w:val="6DCC18C9"/>
    <w:rsid w:val="6DCE4EA6"/>
    <w:rsid w:val="6DD30EA9"/>
    <w:rsid w:val="6DEF55B7"/>
    <w:rsid w:val="6DFC6B36"/>
    <w:rsid w:val="6E110DB1"/>
    <w:rsid w:val="6E35446D"/>
    <w:rsid w:val="6E366CFF"/>
    <w:rsid w:val="6E3A4A84"/>
    <w:rsid w:val="6E3B25AB"/>
    <w:rsid w:val="6E3F209B"/>
    <w:rsid w:val="6E5F44EB"/>
    <w:rsid w:val="6E763DBB"/>
    <w:rsid w:val="6E9005CF"/>
    <w:rsid w:val="6E906D9A"/>
    <w:rsid w:val="6E9655FE"/>
    <w:rsid w:val="6EAC488C"/>
    <w:rsid w:val="6EB74327"/>
    <w:rsid w:val="6EBA7904"/>
    <w:rsid w:val="6EC452AB"/>
    <w:rsid w:val="6ECC3C23"/>
    <w:rsid w:val="6EE36372"/>
    <w:rsid w:val="6EFB514C"/>
    <w:rsid w:val="6F08090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2C664F"/>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6F713B"/>
    <w:rsid w:val="71A212BE"/>
    <w:rsid w:val="71C07997"/>
    <w:rsid w:val="71C8610D"/>
    <w:rsid w:val="71CB19BF"/>
    <w:rsid w:val="71CC3CC9"/>
    <w:rsid w:val="71DE606F"/>
    <w:rsid w:val="71E371E1"/>
    <w:rsid w:val="71E557A3"/>
    <w:rsid w:val="720158B9"/>
    <w:rsid w:val="72021D5D"/>
    <w:rsid w:val="72062ED0"/>
    <w:rsid w:val="721675B7"/>
    <w:rsid w:val="72181581"/>
    <w:rsid w:val="72190E55"/>
    <w:rsid w:val="72320E7F"/>
    <w:rsid w:val="723B701D"/>
    <w:rsid w:val="72444124"/>
    <w:rsid w:val="724C4D86"/>
    <w:rsid w:val="72501473"/>
    <w:rsid w:val="72551100"/>
    <w:rsid w:val="72563E57"/>
    <w:rsid w:val="726F6CC7"/>
    <w:rsid w:val="727A5A85"/>
    <w:rsid w:val="728C7879"/>
    <w:rsid w:val="72964253"/>
    <w:rsid w:val="729D3C1A"/>
    <w:rsid w:val="72A83EDC"/>
    <w:rsid w:val="72A9042B"/>
    <w:rsid w:val="72AD26DF"/>
    <w:rsid w:val="72B304E6"/>
    <w:rsid w:val="72C864B2"/>
    <w:rsid w:val="72D65D24"/>
    <w:rsid w:val="72DB6D6B"/>
    <w:rsid w:val="72E4132B"/>
    <w:rsid w:val="72F316A6"/>
    <w:rsid w:val="73051F08"/>
    <w:rsid w:val="73217595"/>
    <w:rsid w:val="73270B3A"/>
    <w:rsid w:val="732A002F"/>
    <w:rsid w:val="732C3E6A"/>
    <w:rsid w:val="733073FE"/>
    <w:rsid w:val="7343340A"/>
    <w:rsid w:val="734D525A"/>
    <w:rsid w:val="7352461E"/>
    <w:rsid w:val="7355138F"/>
    <w:rsid w:val="73723055"/>
    <w:rsid w:val="73726A6F"/>
    <w:rsid w:val="737361D7"/>
    <w:rsid w:val="7379604F"/>
    <w:rsid w:val="737E7EE3"/>
    <w:rsid w:val="73886292"/>
    <w:rsid w:val="73903399"/>
    <w:rsid w:val="7391343C"/>
    <w:rsid w:val="739C3AEB"/>
    <w:rsid w:val="73B01345"/>
    <w:rsid w:val="73B13A3B"/>
    <w:rsid w:val="73CB617F"/>
    <w:rsid w:val="73DE39BC"/>
    <w:rsid w:val="73F8659C"/>
    <w:rsid w:val="74082F2F"/>
    <w:rsid w:val="741915E0"/>
    <w:rsid w:val="741A6878"/>
    <w:rsid w:val="741C01FC"/>
    <w:rsid w:val="742553A2"/>
    <w:rsid w:val="742A559B"/>
    <w:rsid w:val="7434641A"/>
    <w:rsid w:val="74367A9C"/>
    <w:rsid w:val="74424693"/>
    <w:rsid w:val="74575C64"/>
    <w:rsid w:val="7467234B"/>
    <w:rsid w:val="747A3995"/>
    <w:rsid w:val="747D1B6F"/>
    <w:rsid w:val="74A0760B"/>
    <w:rsid w:val="74A302A1"/>
    <w:rsid w:val="74A62F76"/>
    <w:rsid w:val="74AB66DC"/>
    <w:rsid w:val="74AE06FF"/>
    <w:rsid w:val="74B13FC3"/>
    <w:rsid w:val="74C16BCF"/>
    <w:rsid w:val="74E07CE4"/>
    <w:rsid w:val="74EB7E91"/>
    <w:rsid w:val="74EC4C78"/>
    <w:rsid w:val="74F716D2"/>
    <w:rsid w:val="74F71921"/>
    <w:rsid w:val="74F87447"/>
    <w:rsid w:val="75047B9A"/>
    <w:rsid w:val="75195B13"/>
    <w:rsid w:val="752B597B"/>
    <w:rsid w:val="753A7352"/>
    <w:rsid w:val="75481FE1"/>
    <w:rsid w:val="75497CA3"/>
    <w:rsid w:val="754E7067"/>
    <w:rsid w:val="75753202"/>
    <w:rsid w:val="758C5DDF"/>
    <w:rsid w:val="759A405B"/>
    <w:rsid w:val="75AD4450"/>
    <w:rsid w:val="75C335B1"/>
    <w:rsid w:val="75CA1A2D"/>
    <w:rsid w:val="75D7705D"/>
    <w:rsid w:val="761933AD"/>
    <w:rsid w:val="761A519B"/>
    <w:rsid w:val="761E4C8C"/>
    <w:rsid w:val="762330E7"/>
    <w:rsid w:val="76252C69"/>
    <w:rsid w:val="763224E5"/>
    <w:rsid w:val="76516E0F"/>
    <w:rsid w:val="76577BC9"/>
    <w:rsid w:val="765B7C8E"/>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4C33C7"/>
    <w:rsid w:val="775546DD"/>
    <w:rsid w:val="776A04F1"/>
    <w:rsid w:val="779571D0"/>
    <w:rsid w:val="779D6084"/>
    <w:rsid w:val="77A14244"/>
    <w:rsid w:val="77EB5041"/>
    <w:rsid w:val="77F3025C"/>
    <w:rsid w:val="78574485"/>
    <w:rsid w:val="786C52AB"/>
    <w:rsid w:val="786C6182"/>
    <w:rsid w:val="78715547"/>
    <w:rsid w:val="788039DC"/>
    <w:rsid w:val="78872FBC"/>
    <w:rsid w:val="78A30A77"/>
    <w:rsid w:val="78AE246B"/>
    <w:rsid w:val="78B13B95"/>
    <w:rsid w:val="78CB776D"/>
    <w:rsid w:val="78CF4EC4"/>
    <w:rsid w:val="78D046E6"/>
    <w:rsid w:val="78D40723"/>
    <w:rsid w:val="78D45AD6"/>
    <w:rsid w:val="78D87374"/>
    <w:rsid w:val="78D9133E"/>
    <w:rsid w:val="78E5576C"/>
    <w:rsid w:val="78F10436"/>
    <w:rsid w:val="78FB0617"/>
    <w:rsid w:val="78FB12B4"/>
    <w:rsid w:val="79061475"/>
    <w:rsid w:val="790D5F5E"/>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D90DD4"/>
    <w:rsid w:val="79E81805"/>
    <w:rsid w:val="7A003D11"/>
    <w:rsid w:val="7A075DF4"/>
    <w:rsid w:val="7A150154"/>
    <w:rsid w:val="7A1545F8"/>
    <w:rsid w:val="7A1C0FC6"/>
    <w:rsid w:val="7A1D1A4F"/>
    <w:rsid w:val="7A212F9C"/>
    <w:rsid w:val="7A3565EA"/>
    <w:rsid w:val="7A454EDD"/>
    <w:rsid w:val="7A456C8B"/>
    <w:rsid w:val="7A546ECE"/>
    <w:rsid w:val="7A59072B"/>
    <w:rsid w:val="7A717E58"/>
    <w:rsid w:val="7A74131E"/>
    <w:rsid w:val="7A776A4B"/>
    <w:rsid w:val="7A807CC3"/>
    <w:rsid w:val="7A9C4528"/>
    <w:rsid w:val="7A9E283F"/>
    <w:rsid w:val="7A9E639B"/>
    <w:rsid w:val="7AA31C03"/>
    <w:rsid w:val="7AA80FC8"/>
    <w:rsid w:val="7AAC5C4F"/>
    <w:rsid w:val="7AAF67FA"/>
    <w:rsid w:val="7ABB0CFB"/>
    <w:rsid w:val="7ABD7E74"/>
    <w:rsid w:val="7AC34054"/>
    <w:rsid w:val="7AD41DBD"/>
    <w:rsid w:val="7AE00762"/>
    <w:rsid w:val="7AEC5358"/>
    <w:rsid w:val="7AFB37ED"/>
    <w:rsid w:val="7B215445"/>
    <w:rsid w:val="7B4A02D1"/>
    <w:rsid w:val="7B6018A2"/>
    <w:rsid w:val="7B783090"/>
    <w:rsid w:val="7B845591"/>
    <w:rsid w:val="7B966FA7"/>
    <w:rsid w:val="7BB06386"/>
    <w:rsid w:val="7BB51BEE"/>
    <w:rsid w:val="7BB97C75"/>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B459D"/>
    <w:rsid w:val="7DE275D4"/>
    <w:rsid w:val="7DF033B2"/>
    <w:rsid w:val="7DF54524"/>
    <w:rsid w:val="7E0058E3"/>
    <w:rsid w:val="7E0627F9"/>
    <w:rsid w:val="7E1C3FA0"/>
    <w:rsid w:val="7E2B263C"/>
    <w:rsid w:val="7E4C619C"/>
    <w:rsid w:val="7E4F632A"/>
    <w:rsid w:val="7E53668D"/>
    <w:rsid w:val="7E635454"/>
    <w:rsid w:val="7E6B0DF0"/>
    <w:rsid w:val="7E6D67B0"/>
    <w:rsid w:val="7E7C2E97"/>
    <w:rsid w:val="7EA23D68"/>
    <w:rsid w:val="7EA83C8C"/>
    <w:rsid w:val="7EA85A3A"/>
    <w:rsid w:val="7EB77A2B"/>
    <w:rsid w:val="7F034C8E"/>
    <w:rsid w:val="7F167DAC"/>
    <w:rsid w:val="7F1B445E"/>
    <w:rsid w:val="7F1C3D32"/>
    <w:rsid w:val="7F390BA5"/>
    <w:rsid w:val="7F3D3E3C"/>
    <w:rsid w:val="7F7B472A"/>
    <w:rsid w:val="7F8D69DE"/>
    <w:rsid w:val="7FB3251C"/>
    <w:rsid w:val="7FB623D9"/>
    <w:rsid w:val="7FCD6BA3"/>
    <w:rsid w:val="7FCF2099"/>
    <w:rsid w:val="7FDC0A38"/>
    <w:rsid w:val="7FE40D68"/>
    <w:rsid w:val="7FEE56CF"/>
    <w:rsid w:val="7FF764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line="360" w:lineRule="auto"/>
    </w:pPr>
    <w:rPr>
      <w:szCs w:val="20"/>
    </w:rPr>
  </w:style>
  <w:style w:type="paragraph" w:styleId="9">
    <w:name w:val="Body Text Indent"/>
    <w:basedOn w:val="1"/>
    <w:qFormat/>
    <w:uiPriority w:val="0"/>
    <w:pPr>
      <w:spacing w:line="360" w:lineRule="auto"/>
      <w:ind w:left="608" w:hanging="608"/>
    </w:pPr>
    <w:rPr>
      <w:rFonts w:ascii="宋体"/>
      <w:sz w:val="28"/>
    </w:rPr>
  </w:style>
  <w:style w:type="paragraph" w:styleId="10">
    <w:name w:val="toc 5"/>
    <w:basedOn w:val="1"/>
    <w:next w:val="1"/>
    <w:qFormat/>
    <w:uiPriority w:val="0"/>
    <w:pPr>
      <w:ind w:left="168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Body Text First Indent"/>
    <w:basedOn w:val="1"/>
    <w:next w:val="1"/>
    <w:qFormat/>
    <w:uiPriority w:val="0"/>
    <w:pPr>
      <w:spacing w:after="120"/>
      <w:ind w:firstLine="420" w:firstLineChars="100"/>
    </w:pPr>
  </w:style>
  <w:style w:type="paragraph" w:styleId="17">
    <w:name w:val="Body Text First Indent 2"/>
    <w:basedOn w:val="9"/>
    <w:next w:val="8"/>
    <w:qFormat/>
    <w:uiPriority w:val="0"/>
    <w:pPr>
      <w:snapToGrid w:val="0"/>
      <w:spacing w:after="120"/>
      <w:ind w:left="420" w:firstLine="420" w:firstLineChars="200"/>
    </w:pPr>
    <w:rPr>
      <w:rFonts w:ascii="Tahoma" w:hAnsi="Tahom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5">
    <w:name w:val="列出段落1"/>
    <w:basedOn w:val="1"/>
    <w:qFormat/>
    <w:uiPriority w:val="34"/>
    <w:pPr>
      <w:ind w:firstLine="420" w:firstLineChars="200"/>
    </w:pPr>
  </w:style>
  <w:style w:type="character" w:customStyle="1" w:styleId="26">
    <w:name w:val="p12"/>
    <w:basedOn w:val="20"/>
    <w:qFormat/>
    <w:uiPriority w:val="0"/>
  </w:style>
  <w:style w:type="paragraph" w:customStyle="1" w:styleId="27">
    <w:name w:val="Table Paragraph"/>
    <w:basedOn w:val="1"/>
    <w:qFormat/>
    <w:uiPriority w:val="1"/>
  </w:style>
  <w:style w:type="paragraph" w:customStyle="1" w:styleId="28">
    <w:name w:val="首行缩进"/>
    <w:basedOn w:val="1"/>
    <w:qFormat/>
    <w:uiPriority w:val="0"/>
    <w:pPr>
      <w:ind w:firstLine="480" w:firstLineChars="200"/>
    </w:pPr>
    <w:rPr>
      <w:lang w:val="zh-CN"/>
    </w:rPr>
  </w:style>
  <w:style w:type="paragraph" w:styleId="29">
    <w:name w:val="List Paragraph"/>
    <w:basedOn w:val="1"/>
    <w:qFormat/>
    <w:uiPriority w:val="34"/>
    <w:pPr>
      <w:ind w:firstLine="420" w:firstLineChars="200"/>
    </w:pPr>
  </w:style>
  <w:style w:type="paragraph" w:customStyle="1" w:styleId="30">
    <w:name w:val="列表段落1"/>
    <w:basedOn w:val="1"/>
    <w:qFormat/>
    <w:uiPriority w:val="34"/>
    <w:pPr>
      <w:ind w:firstLine="420" w:firstLineChars="200"/>
    </w:pPr>
    <w:rPr>
      <w:rFonts w:ascii="仿宋" w:hAnsi="仿宋" w:eastAsia="仿宋" w:cs="仿宋"/>
      <w:sz w:val="24"/>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table of authorities1"/>
    <w:basedOn w:val="1"/>
    <w:next w:val="1"/>
    <w:qFormat/>
    <w:uiPriority w:val="0"/>
    <w:pPr>
      <w:tabs>
        <w:tab w:val="left" w:pos="420"/>
      </w:tabs>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685</Words>
  <Characters>757</Characters>
  <Lines>1</Lines>
  <Paragraphs>1</Paragraphs>
  <TotalTime>7</TotalTime>
  <ScaleCrop>false</ScaleCrop>
  <LinksUpToDate>false</LinksUpToDate>
  <CharactersWithSpaces>770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2023-04-06T10:16:00Z</dcterms:created>
  <dc:creator>点点点</dc:creator>
  <cp:lastModifiedBy>In</cp:lastModifiedBy>
  <cp:lastPrinted>2025-06-12T07:47:00Z</cp:lastPrinted>
  <dcterms:modified xsi:type="dcterms:W3CDTF">2025-06-18T01:01:28Z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C6FABEB1A9B54DB895FDB5980D89B8E9_13</vt:lpwstr>
  </property>
  <property fmtid="{D5CDD505-2E9C-101B-9397-08002B2CF9AE}" pid="4" name="KSOTemplateDocerSaveRecord">
    <vt:lpwstr>eyJoZGlkIjoiMTQzMzZjMWRiMzdjOTlmYmRjZGRiYTY0ODI0ZWVlOTMiLCJ1c2VySWQiOiIxMzA3MDU2Mzg3In0=</vt:lpwstr>
  </property>
</Properties>
</file>