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rPr>
      </w:pPr>
    </w:p>
    <w:p>
      <w:pPr>
        <w:pStyle w:val="16"/>
        <w:adjustRightInd w:val="0"/>
        <w:snapToGrid w:val="0"/>
        <w:spacing w:line="360" w:lineRule="auto"/>
        <w:jc w:val="center"/>
        <w:rPr>
          <w:rFonts w:hAnsi="宋体" w:cs="宋体"/>
          <w:b/>
          <w:sz w:val="44"/>
          <w:szCs w:val="44"/>
          <w:lang w:val="zh-CN"/>
        </w:rPr>
      </w:pPr>
      <w:bookmarkStart w:id="0" w:name="_Toc22419"/>
    </w:p>
    <w:p>
      <w:pPr>
        <w:pStyle w:val="16"/>
        <w:adjustRightInd w:val="0"/>
        <w:snapToGrid w:val="0"/>
        <w:spacing w:line="360" w:lineRule="auto"/>
        <w:jc w:val="center"/>
        <w:rPr>
          <w:rFonts w:hAnsi="宋体" w:cs="宋体"/>
          <w:b/>
          <w:sz w:val="44"/>
          <w:szCs w:val="44"/>
          <w:lang w:val="zh-CN"/>
        </w:rPr>
      </w:pPr>
    </w:p>
    <w:p>
      <w:pPr>
        <w:pStyle w:val="16"/>
        <w:adjustRightInd w:val="0"/>
        <w:snapToGrid w:val="0"/>
        <w:spacing w:line="360" w:lineRule="auto"/>
        <w:jc w:val="center"/>
        <w:rPr>
          <w:rFonts w:hint="eastAsia" w:ascii="宋体" w:hAnsi="宋体" w:eastAsia="宋体" w:cs="宋体"/>
          <w:b/>
          <w:kern w:val="0"/>
          <w:sz w:val="44"/>
          <w:szCs w:val="44"/>
          <w:lang w:val="en-US" w:eastAsia="zh-CN"/>
        </w:rPr>
      </w:pPr>
      <w:r>
        <w:rPr>
          <w:rFonts w:hint="eastAsia" w:ascii="宋体" w:hAnsi="宋体" w:eastAsia="宋体" w:cs="宋体"/>
          <w:b/>
          <w:kern w:val="0"/>
          <w:sz w:val="44"/>
          <w:szCs w:val="44"/>
          <w:lang w:val="en-US" w:eastAsia="zh-CN"/>
        </w:rPr>
        <w:t>中山市城市公交营运数字化转型升级策略研究</w:t>
      </w:r>
    </w:p>
    <w:p>
      <w:pPr>
        <w:pStyle w:val="16"/>
        <w:adjustRightInd w:val="0"/>
        <w:snapToGrid w:val="0"/>
        <w:spacing w:line="360" w:lineRule="auto"/>
        <w:jc w:val="center"/>
        <w:rPr>
          <w:rFonts w:hint="eastAsia" w:hAnsi="宋体" w:eastAsia="宋体" w:cs="宋体"/>
          <w:b/>
          <w:kern w:val="0"/>
          <w:sz w:val="44"/>
          <w:szCs w:val="44"/>
          <w:lang w:eastAsia="zh-CN"/>
        </w:rPr>
      </w:pPr>
      <w:r>
        <w:rPr>
          <w:rFonts w:hint="eastAsia" w:ascii="宋体" w:hAnsi="宋体" w:eastAsia="宋体" w:cs="宋体"/>
          <w:b/>
          <w:kern w:val="0"/>
          <w:sz w:val="44"/>
          <w:szCs w:val="44"/>
          <w:lang w:val="en-US" w:eastAsia="zh-CN"/>
        </w:rPr>
        <w:t>咨询服务</w:t>
      </w:r>
      <w:r>
        <w:rPr>
          <w:rFonts w:hint="eastAsia" w:hAnsi="宋体" w:cs="宋体"/>
          <w:b/>
          <w:kern w:val="0"/>
          <w:sz w:val="44"/>
          <w:szCs w:val="44"/>
        </w:rPr>
        <w:t>采购项目</w:t>
      </w:r>
      <w:r>
        <w:rPr>
          <w:rFonts w:hint="eastAsia" w:hAnsi="宋体" w:cs="宋体"/>
          <w:b/>
          <w:kern w:val="0"/>
          <w:sz w:val="44"/>
          <w:szCs w:val="44"/>
          <w:lang w:eastAsia="zh-CN"/>
        </w:rPr>
        <w:t>（</w:t>
      </w:r>
      <w:r>
        <w:rPr>
          <w:rFonts w:hint="eastAsia" w:hAnsi="宋体" w:cs="宋体"/>
          <w:b/>
          <w:kern w:val="0"/>
          <w:sz w:val="44"/>
          <w:szCs w:val="44"/>
          <w:lang w:val="en-US" w:eastAsia="zh-CN"/>
        </w:rPr>
        <w:t>第三次</w:t>
      </w:r>
      <w:r>
        <w:rPr>
          <w:rFonts w:hint="eastAsia" w:hAnsi="宋体" w:cs="宋体"/>
          <w:b/>
          <w:kern w:val="0"/>
          <w:sz w:val="44"/>
          <w:szCs w:val="44"/>
          <w:lang w:eastAsia="zh-CN"/>
        </w:rPr>
        <w:t>）</w:t>
      </w:r>
    </w:p>
    <w:p>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pPr>
        <w:pStyle w:val="31"/>
        <w:ind w:firstLine="320"/>
        <w:jc w:val="center"/>
        <w:rPr>
          <w:rFonts w:ascii="宋体" w:hAnsi="宋体" w:cs="宋体"/>
          <w:b/>
          <w:sz w:val="44"/>
          <w:szCs w:val="44"/>
          <w:lang w:val="zh-CN"/>
        </w:r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w:t>
      </w:r>
      <w:r>
        <w:rPr>
          <w:rFonts w:hint="eastAsia" w:ascii="宋体" w:hAnsi="宋体" w:cs="宋体"/>
          <w:sz w:val="32"/>
          <w:szCs w:val="32"/>
          <w:lang w:val="en-US" w:eastAsia="zh-CN"/>
        </w:rPr>
        <w:t>5</w:t>
      </w:r>
      <w:r>
        <w:rPr>
          <w:rFonts w:hint="eastAsia" w:ascii="宋体" w:hAnsi="宋体" w:cs="宋体"/>
          <w:sz w:val="32"/>
          <w:szCs w:val="32"/>
        </w:rPr>
        <w:t>月</w:t>
      </w:r>
    </w:p>
    <w:p>
      <w:pPr>
        <w:spacing w:line="460" w:lineRule="exact"/>
        <w:jc w:val="center"/>
        <w:rPr>
          <w:rFonts w:ascii="宋体" w:hAnsi="宋体" w:cs="宋体"/>
          <w:b/>
          <w:sz w:val="44"/>
          <w:szCs w:val="28"/>
        </w:rPr>
      </w:pPr>
    </w:p>
    <w:p>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pPr>
        <w:pStyle w:val="16"/>
        <w:adjustRightInd w:val="0"/>
        <w:snapToGrid w:val="0"/>
        <w:spacing w:line="560" w:lineRule="exact"/>
        <w:jc w:val="center"/>
        <w:outlineLvl w:val="0"/>
        <w:rPr>
          <w:rFonts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44"/>
        <w:rPr>
          <w:rFonts w:ascii="宋体" w:hAnsi="宋体" w:cs="宋体"/>
          <w:b/>
          <w:bCs/>
          <w:sz w:val="44"/>
          <w:szCs w:val="44"/>
        </w:rPr>
      </w:pPr>
    </w:p>
    <w:p>
      <w:pPr>
        <w:pStyle w:val="44"/>
        <w:rPr>
          <w:rFonts w:ascii="宋体" w:hAnsi="宋体" w:cs="宋体"/>
          <w:b/>
          <w:bCs/>
          <w:sz w:val="44"/>
          <w:szCs w:val="44"/>
        </w:rPr>
      </w:pPr>
    </w:p>
    <w:p/>
    <w:p>
      <w:pPr>
        <w:pStyle w:val="16"/>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pPr>
        <w:spacing w:line="560" w:lineRule="exact"/>
        <w:jc w:val="left"/>
        <w:rPr>
          <w:rFonts w:ascii="宋体" w:hAnsi="宋体" w:cs="宋体"/>
          <w:spacing w:val="20"/>
          <w:sz w:val="24"/>
        </w:rPr>
      </w:pP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480" w:firstLineChars="200"/>
        <w:rPr>
          <w:rFonts w:hint="eastAsia" w:ascii="宋体" w:hAnsi="宋体" w:cs="宋体"/>
          <w:sz w:val="24"/>
        </w:rPr>
      </w:pPr>
      <w:r>
        <w:rPr>
          <w:rFonts w:hint="eastAsia" w:ascii="宋体" w:hAnsi="宋体" w:cs="宋体"/>
          <w:sz w:val="24"/>
        </w:rPr>
        <w:t>现就中山市公共交通运输集团有限公司</w:t>
      </w:r>
      <w:r>
        <w:rPr>
          <w:rFonts w:hint="eastAsia" w:ascii="宋体" w:hAnsi="宋体" w:cs="宋体"/>
          <w:sz w:val="24"/>
          <w:lang w:eastAsia="zh-CN"/>
        </w:rPr>
        <w:t>（</w:t>
      </w:r>
      <w:r>
        <w:rPr>
          <w:rFonts w:hint="eastAsia" w:ascii="宋体" w:hAnsi="宋体" w:eastAsia="宋体" w:cs="宋体"/>
          <w:sz w:val="24"/>
          <w:lang w:val="en-US" w:eastAsia="zh-CN"/>
        </w:rPr>
        <w:t>下称采购人</w:t>
      </w:r>
      <w:r>
        <w:rPr>
          <w:rFonts w:hint="eastAsia" w:ascii="宋体" w:hAnsi="宋体" w:eastAsia="宋体" w:cs="宋体"/>
          <w:sz w:val="24"/>
          <w:lang w:eastAsia="zh-CN"/>
        </w:rPr>
        <w:t>）</w:t>
      </w:r>
      <w:r>
        <w:rPr>
          <w:rFonts w:hint="eastAsia" w:ascii="宋体" w:hAnsi="宋体" w:cs="宋体"/>
          <w:sz w:val="24"/>
          <w:lang w:eastAsia="zh-CN"/>
        </w:rPr>
        <w:t>中山市城市公交营运数字化转型升级策略研究咨询服务采购项目（第三次）</w:t>
      </w:r>
      <w:r>
        <w:rPr>
          <w:rFonts w:hint="eastAsia" w:ascii="宋体" w:hAnsi="宋体" w:cs="宋体"/>
          <w:sz w:val="24"/>
        </w:rPr>
        <w:t>进行公开采购，欢迎符合资格条件的供应商参与评选，有关事项如下：</w:t>
      </w:r>
    </w:p>
    <w:p>
      <w:pPr>
        <w:spacing w:line="560" w:lineRule="exact"/>
        <w:ind w:firstLine="482" w:firstLineChars="200"/>
        <w:rPr>
          <w:rFonts w:hint="eastAsia" w:ascii="宋体" w:hAnsi="宋体" w:eastAsia="宋体" w:cs="宋体"/>
          <w:sz w:val="24"/>
          <w:lang w:eastAsia="zh-CN"/>
        </w:rPr>
      </w:pPr>
      <w:r>
        <w:rPr>
          <w:rFonts w:hint="eastAsia" w:ascii="宋体" w:hAnsi="宋体" w:cs="宋体"/>
          <w:b/>
          <w:bCs/>
          <w:sz w:val="24"/>
        </w:rPr>
        <w:t>一、项目名称：</w:t>
      </w:r>
      <w:r>
        <w:rPr>
          <w:rFonts w:hint="eastAsia" w:ascii="宋体" w:hAnsi="宋体" w:cs="宋体"/>
          <w:sz w:val="24"/>
          <w:lang w:eastAsia="zh-CN"/>
        </w:rPr>
        <w:t>中山市城市公交营运数字化转型升级策略研究咨询服务采购项目（第三次）</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ind w:firstLine="482" w:firstLineChars="200"/>
        <w:rPr>
          <w:rFonts w:ascii="宋体" w:hAnsi="宋体" w:cs="宋体"/>
          <w:b/>
          <w:bCs/>
          <w:sz w:val="24"/>
        </w:rPr>
      </w:pPr>
      <w:r>
        <w:rPr>
          <w:rFonts w:hint="eastAsia" w:ascii="宋体" w:hAnsi="宋体" w:cs="宋体"/>
          <w:b/>
          <w:bCs/>
          <w:sz w:val="24"/>
        </w:rPr>
        <w:t>四、预算金额：</w:t>
      </w:r>
      <w:r>
        <w:rPr>
          <w:rFonts w:hint="eastAsia" w:ascii="宋体" w:hAnsi="宋体" w:eastAsia="宋体" w:cs="宋体"/>
          <w:sz w:val="24"/>
        </w:rPr>
        <w:t>不高于¥</w:t>
      </w:r>
      <w:r>
        <w:rPr>
          <w:rFonts w:hint="eastAsia" w:ascii="宋体" w:hAnsi="宋体" w:cs="宋体"/>
          <w:sz w:val="24"/>
          <w:lang w:val="en-US" w:eastAsia="zh-CN"/>
        </w:rPr>
        <w:t>490,000</w:t>
      </w:r>
      <w:r>
        <w:rPr>
          <w:rFonts w:hint="eastAsia" w:ascii="宋体" w:hAnsi="宋体" w:eastAsia="宋体" w:cs="宋体"/>
          <w:sz w:val="24"/>
        </w:rPr>
        <w:t>.</w:t>
      </w:r>
      <w:r>
        <w:rPr>
          <w:rFonts w:hint="eastAsia" w:ascii="宋体" w:hAnsi="宋体" w:eastAsia="宋体" w:cs="宋体"/>
          <w:sz w:val="24"/>
          <w:lang w:val="en-US" w:eastAsia="zh-CN"/>
        </w:rPr>
        <w:t>00</w:t>
      </w:r>
      <w:r>
        <w:rPr>
          <w:rFonts w:hint="eastAsia" w:ascii="宋体" w:hAnsi="宋体" w:eastAsia="宋体" w:cs="宋体"/>
          <w:sz w:val="24"/>
        </w:rPr>
        <w:t>元</w:t>
      </w:r>
    </w:p>
    <w:p>
      <w:pPr>
        <w:spacing w:line="560" w:lineRule="exact"/>
        <w:ind w:firstLine="482" w:firstLineChars="200"/>
        <w:rPr>
          <w:rFonts w:hint="eastAsia" w:ascii="宋体" w:hAnsi="宋体" w:eastAsia="宋体" w:cs="宋体"/>
          <w:sz w:val="24"/>
          <w:lang w:val="en-US" w:eastAsia="zh-CN"/>
        </w:rPr>
      </w:pPr>
      <w:r>
        <w:rPr>
          <w:rFonts w:hint="eastAsia" w:ascii="宋体" w:hAnsi="宋体" w:cs="宋体"/>
          <w:b/>
          <w:bCs/>
          <w:sz w:val="24"/>
        </w:rPr>
        <w:t>五、项目内容：</w:t>
      </w:r>
    </w:p>
    <w:p>
      <w:pPr>
        <w:spacing w:line="56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信息化建设是当前城市公交“提质、增效、升级”的重要手段，是提升公交服务水平、企业管理水平、企业核心竞争力的重要支撑。经过多年信息化建设，</w:t>
      </w:r>
      <w:r>
        <w:rPr>
          <w:rFonts w:hint="eastAsia" w:ascii="宋体" w:hAnsi="宋体" w:cs="宋体"/>
          <w:sz w:val="24"/>
          <w:lang w:val="en-US" w:eastAsia="zh-CN"/>
        </w:rPr>
        <w:t>采购人</w:t>
      </w:r>
      <w:r>
        <w:rPr>
          <w:rFonts w:hint="eastAsia" w:ascii="宋体" w:hAnsi="宋体" w:eastAsia="宋体" w:cs="宋体"/>
          <w:sz w:val="24"/>
          <w:lang w:val="en-US" w:eastAsia="zh-CN"/>
        </w:rPr>
        <w:t>建立了较为完备的信息化管理系统，主要有客流分析系统、线网分析系统、云调度系统、公交数字驾驶舱、中山公交小程序、电子站牌等。为助力</w:t>
      </w:r>
      <w:r>
        <w:rPr>
          <w:rFonts w:hint="eastAsia" w:ascii="宋体" w:hAnsi="宋体" w:cs="宋体"/>
          <w:sz w:val="24"/>
          <w:lang w:val="en-US" w:eastAsia="zh-CN"/>
        </w:rPr>
        <w:t>采购人</w:t>
      </w:r>
      <w:r>
        <w:rPr>
          <w:rFonts w:hint="eastAsia" w:ascii="宋体" w:hAnsi="宋体" w:eastAsia="宋体" w:cs="宋体"/>
          <w:sz w:val="24"/>
          <w:lang w:val="en-US" w:eastAsia="zh-CN"/>
        </w:rPr>
        <w:t>城市公交营运数字化转型走深走实，降低运营成本，提升公交服务水平，实现中山公交创新高质量发展，</w:t>
      </w:r>
      <w:r>
        <w:rPr>
          <w:rFonts w:hint="eastAsia" w:ascii="宋体" w:hAnsi="宋体" w:cs="宋体"/>
          <w:sz w:val="24"/>
          <w:lang w:val="en-US" w:eastAsia="zh-CN"/>
        </w:rPr>
        <w:t>现</w:t>
      </w:r>
      <w:r>
        <w:rPr>
          <w:rFonts w:hint="eastAsia" w:ascii="宋体" w:hAnsi="宋体" w:eastAsia="宋体" w:cs="宋体"/>
          <w:sz w:val="24"/>
          <w:lang w:val="en-US" w:eastAsia="zh-CN"/>
        </w:rPr>
        <w:t>开展中山市城市公交营运数字化转型升级策略研究。</w:t>
      </w:r>
    </w:p>
    <w:p>
      <w:pPr>
        <w:spacing w:line="560" w:lineRule="exact"/>
        <w:ind w:firstLine="482" w:firstLineChars="200"/>
        <w:rPr>
          <w:rFonts w:ascii="宋体" w:hAnsi="宋体" w:cs="宋体"/>
          <w:b/>
          <w:bCs/>
          <w:sz w:val="24"/>
        </w:rPr>
      </w:pPr>
      <w:r>
        <w:rPr>
          <w:rFonts w:hint="eastAsia" w:ascii="宋体" w:hAnsi="宋体" w:cs="宋体"/>
          <w:b/>
          <w:bCs/>
          <w:sz w:val="24"/>
        </w:rPr>
        <w:t>六、合格供应商资格要求</w:t>
      </w:r>
    </w:p>
    <w:p>
      <w:pPr>
        <w:spacing w:line="560" w:lineRule="exact"/>
        <w:ind w:firstLine="480" w:firstLineChars="200"/>
        <w:rPr>
          <w:rFonts w:ascii="宋体" w:hAnsi="宋体" w:cs="宋体"/>
          <w:sz w:val="24"/>
        </w:rPr>
      </w:pPr>
      <w:r>
        <w:rPr>
          <w:rFonts w:hint="eastAsia" w:ascii="宋体" w:hAnsi="宋体" w:cs="宋体"/>
          <w:sz w:val="24"/>
        </w:rPr>
        <w:t>（一）具有独立承担民事责任能力的在中华人民共和国境内注册的企业法人或其他社会组织，提供营业执照等。</w:t>
      </w:r>
    </w:p>
    <w:p>
      <w:pPr>
        <w:spacing w:line="560" w:lineRule="exact"/>
        <w:ind w:firstLine="480" w:firstLineChars="200"/>
        <w:rPr>
          <w:rFonts w:hint="eastAsia" w:ascii="宋体" w:hAnsi="宋体" w:cs="宋体"/>
          <w:sz w:val="24"/>
        </w:rPr>
      </w:pPr>
      <w:r>
        <w:rPr>
          <w:rFonts w:hint="eastAsia" w:ascii="宋体" w:hAnsi="宋体" w:cs="宋体"/>
          <w:sz w:val="24"/>
        </w:rPr>
        <w:t>（二）参评供应商的</w:t>
      </w:r>
      <w:r>
        <w:rPr>
          <w:rFonts w:hint="eastAsia" w:ascii="宋体" w:hAnsi="宋体" w:cs="宋体"/>
          <w:sz w:val="24"/>
          <w:lang w:val="en-US" w:eastAsia="zh-CN"/>
        </w:rPr>
        <w:t>经营或业务范围必须至少涵盖以下相关领域中的任一项：规划研究、技术研究、决策支持、智慧交通、技术咨询</w:t>
      </w:r>
      <w:r>
        <w:rPr>
          <w:rFonts w:hint="eastAsia" w:ascii="宋体" w:hAnsi="宋体" w:cs="宋体"/>
          <w:sz w:val="24"/>
        </w:rPr>
        <w:t>等。</w:t>
      </w:r>
    </w:p>
    <w:p>
      <w:pPr>
        <w:spacing w:line="560" w:lineRule="exact"/>
        <w:ind w:firstLine="480" w:firstLineChars="200"/>
        <w:rPr>
          <w:rFonts w:ascii="宋体" w:hAnsi="宋体" w:cs="宋体"/>
          <w:sz w:val="24"/>
        </w:rPr>
      </w:pPr>
      <w:r>
        <w:rPr>
          <w:rFonts w:hint="eastAsia" w:ascii="宋体" w:hAnsi="宋体" w:cs="宋体"/>
          <w:sz w:val="24"/>
        </w:rPr>
        <w:t>（三）供应商承诺不得以任何方式转包或分包本项目。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（四）参评供应商满足本项目的主要需求，填写《需求响应表》并全部完全响应，无负偏离。</w:t>
      </w:r>
    </w:p>
    <w:p>
      <w:pPr>
        <w:spacing w:line="560" w:lineRule="exact"/>
        <w:ind w:firstLine="480" w:firstLineChars="200"/>
        <w:rPr>
          <w:rFonts w:ascii="宋体" w:hAnsi="宋体" w:cs="宋体"/>
          <w:sz w:val="24"/>
        </w:rPr>
      </w:pPr>
      <w:r>
        <w:rPr>
          <w:rFonts w:hint="eastAsia" w:ascii="宋体" w:hAnsi="宋体" w:cs="宋体"/>
          <w:sz w:val="24"/>
        </w:rPr>
        <w:t>（五）非联合体潜在供应商参评报价。</w:t>
      </w:r>
    </w:p>
    <w:p>
      <w:pPr>
        <w:spacing w:line="560" w:lineRule="exact"/>
        <w:ind w:firstLine="480" w:firstLineChars="200"/>
        <w:rPr>
          <w:rFonts w:ascii="宋体" w:hAnsi="宋体" w:cs="宋体"/>
          <w:sz w:val="24"/>
        </w:rPr>
      </w:pPr>
      <w:r>
        <w:rPr>
          <w:rFonts w:hint="eastAsia" w:ascii="宋体" w:hAnsi="宋体" w:cs="宋体"/>
          <w:sz w:val="24"/>
        </w:rPr>
        <w:t>（六）报价为唯一固定价且未超过报价</w:t>
      </w:r>
      <w:r>
        <w:rPr>
          <w:rFonts w:hint="eastAsia" w:ascii="宋体" w:hAnsi="宋体" w:cs="宋体"/>
          <w:sz w:val="24"/>
          <w:lang w:val="en-US" w:eastAsia="zh-CN"/>
        </w:rPr>
        <w:t>上限</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（七）供应商承诺所提供材料真实、准确，并随时接受采购人核实查验。</w:t>
      </w:r>
    </w:p>
    <w:p>
      <w:pPr>
        <w:spacing w:line="560" w:lineRule="exact"/>
        <w:ind w:firstLine="482" w:firstLineChars="200"/>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（一）本项目的采购公告信息在中山市公共交通运输集团有限公司官方网站（https://www.zsbus.cn）及中山产权服务网（http://zscq.zsnews.cn/）上公布，并视为有效送达，不再另行通知。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w:t>
      </w:r>
    </w:p>
    <w:p>
      <w:pPr>
        <w:spacing w:line="560" w:lineRule="exact"/>
        <w:ind w:firstLine="482" w:firstLineChars="200"/>
        <w:rPr>
          <w:rFonts w:ascii="宋体" w:hAnsi="宋体" w:cs="宋体"/>
          <w:b/>
          <w:bCs/>
          <w:sz w:val="24"/>
        </w:rPr>
      </w:pPr>
      <w:r>
        <w:rPr>
          <w:rFonts w:hint="eastAsia" w:ascii="宋体" w:hAnsi="宋体" w:cs="宋体"/>
          <w:b/>
          <w:bCs/>
          <w:sz w:val="24"/>
        </w:rPr>
        <w:t>八、报名要求</w:t>
      </w:r>
    </w:p>
    <w:p>
      <w:pPr>
        <w:spacing w:line="560" w:lineRule="exact"/>
        <w:ind w:firstLine="480" w:firstLineChars="200"/>
        <w:rPr>
          <w:rFonts w:hint="eastAsia" w:ascii="宋体" w:hAnsi="宋体" w:cs="宋体"/>
          <w:sz w:val="24"/>
        </w:rPr>
      </w:pPr>
      <w:r>
        <w:rPr>
          <w:rFonts w:hint="eastAsia" w:ascii="宋体" w:hAnsi="宋体" w:cs="宋体"/>
          <w:sz w:val="24"/>
        </w:rPr>
        <w:t>（一）报名方式：供应商自行获取采购文件后，需在报名时间截止前提交一份参评文件，参评文件格式要求详见第四部分《参评文件格式》；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，超时不接受任何供应商报名。</w:t>
      </w:r>
      <w:r>
        <w:rPr>
          <w:rFonts w:hint="eastAsia" w:ascii="宋体" w:hAnsi="宋体" w:cs="宋体"/>
          <w:sz w:val="24"/>
        </w:rPr>
        <w:t>（以采购人收到参评文件时间为准）。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）供应商应在参评文件递交时间截止前提交一份参评文件，参评文件格式要求详见第四部分《参评文件格式》；</w:t>
      </w:r>
      <w:r>
        <w:rPr>
          <w:rFonts w:hint="eastAsia" w:ascii="宋体" w:hAnsi="宋体" w:cs="宋体"/>
          <w:b/>
          <w:bCs/>
          <w:sz w:val="24"/>
          <w:highlight w:val="none"/>
          <w:u w:val="single"/>
        </w:rPr>
        <w:t>参评文件要求独立装订成册（使用夹子或回形针夹住视为没有独立装订成册），按格式规定签字或盖章并加盖公章，密封提交。</w:t>
      </w:r>
    </w:p>
    <w:p>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）参评文件递交或邮寄地址：广东省中山市</w:t>
      </w:r>
      <w:r>
        <w:rPr>
          <w:rFonts w:hint="eastAsia" w:ascii="宋体" w:hAnsi="宋体" w:cs="宋体"/>
          <w:sz w:val="24"/>
          <w:lang w:val="en-US" w:eastAsia="zh-CN"/>
        </w:rPr>
        <w:t>南区城南三路中山公交集团307室</w:t>
      </w:r>
      <w:r>
        <w:rPr>
          <w:rFonts w:hint="eastAsia" w:ascii="宋体" w:hAnsi="宋体" w:cs="宋体"/>
          <w:sz w:val="24"/>
        </w:rPr>
        <w:t>王先生（18165633823）收。</w:t>
      </w:r>
    </w:p>
    <w:p>
      <w:pPr>
        <w:spacing w:line="560" w:lineRule="exact"/>
        <w:ind w:firstLine="482" w:firstLineChars="200"/>
        <w:rPr>
          <w:rFonts w:ascii="宋体" w:hAnsi="宋体" w:cs="宋体"/>
          <w:b/>
          <w:bCs/>
          <w:sz w:val="24"/>
        </w:rPr>
      </w:pPr>
      <w:r>
        <w:rPr>
          <w:rFonts w:hint="eastAsia" w:ascii="宋体" w:hAnsi="宋体" w:cs="宋体"/>
          <w:b/>
          <w:bCs/>
          <w:sz w:val="24"/>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r>
        <w:rPr>
          <w:rFonts w:hint="eastAsia" w:ascii="宋体" w:hAnsi="宋体" w:cs="宋体"/>
          <w:sz w:val="24"/>
          <w:highlight w:val="none"/>
          <w:lang w:val="en-US" w:eastAsia="zh-CN"/>
        </w:rPr>
        <w:t>11</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（二）评审地点：中山公交集团城南办公楼会议室，评审时供应商无需到场参加。</w:t>
      </w:r>
    </w:p>
    <w:p>
      <w:pPr>
        <w:spacing w:line="560" w:lineRule="exact"/>
        <w:ind w:firstLine="482" w:firstLineChars="200"/>
        <w:rPr>
          <w:rFonts w:ascii="宋体" w:hAnsi="宋体" w:cs="宋体"/>
          <w:b/>
          <w:bCs/>
          <w:sz w:val="24"/>
        </w:rPr>
      </w:pPr>
      <w:r>
        <w:rPr>
          <w:rFonts w:hint="eastAsia" w:ascii="宋体" w:hAnsi="宋体" w:cs="宋体"/>
          <w:b/>
          <w:bCs/>
          <w:sz w:val="24"/>
        </w:rPr>
        <w:t>十、评审结果公示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w:t>
      </w:r>
      <w:r>
        <w:rPr>
          <w:rFonts w:hint="eastAsia" w:ascii="宋体" w:hAnsi="宋体" w:cs="宋体"/>
          <w:sz w:val="24"/>
          <w:lang w:val="en-US" w:eastAsia="zh-CN"/>
        </w:rPr>
        <w:t>审</w:t>
      </w:r>
      <w:r>
        <w:rPr>
          <w:rFonts w:hint="eastAsia" w:ascii="宋体" w:hAnsi="宋体" w:cs="宋体"/>
          <w:sz w:val="24"/>
        </w:rPr>
        <w:t>活动。</w:t>
      </w:r>
    </w:p>
    <w:p>
      <w:pPr>
        <w:spacing w:line="560" w:lineRule="exact"/>
        <w:ind w:firstLine="482" w:firstLineChars="200"/>
        <w:rPr>
          <w:rFonts w:ascii="宋体" w:hAnsi="宋体" w:cs="宋体"/>
          <w:b/>
          <w:bCs/>
          <w:sz w:val="24"/>
        </w:rPr>
      </w:pPr>
      <w:r>
        <w:rPr>
          <w:rFonts w:hint="eastAsia" w:ascii="宋体" w:hAnsi="宋体" w:cs="宋体"/>
          <w:b/>
          <w:bCs/>
          <w:sz w:val="24"/>
        </w:rPr>
        <w:t>十一、采购人联系方式</w:t>
      </w:r>
    </w:p>
    <w:p>
      <w:pPr>
        <w:spacing w:line="560" w:lineRule="exact"/>
        <w:ind w:firstLine="480" w:firstLineChars="200"/>
        <w:rPr>
          <w:rFonts w:ascii="宋体" w:hAnsi="宋体" w:cs="宋体"/>
          <w:sz w:val="24"/>
        </w:rPr>
      </w:pPr>
      <w:r>
        <w:rPr>
          <w:rFonts w:hint="eastAsia" w:ascii="宋体" w:hAnsi="宋体" w:cs="宋体"/>
          <w:sz w:val="24"/>
        </w:rPr>
        <w:t>（一）采购人联系电话：王先生18165633823</w:t>
      </w:r>
      <w:bookmarkStart w:id="5" w:name="_GoBack"/>
      <w:bookmarkEnd w:id="5"/>
    </w:p>
    <w:p>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pPr>
        <w:spacing w:line="560" w:lineRule="exact"/>
        <w:jc w:val="left"/>
        <w:rPr>
          <w:rFonts w:ascii="宋体" w:hAnsi="宋体" w:cs="宋体"/>
          <w:sz w:val="24"/>
        </w:rPr>
      </w:pPr>
    </w:p>
    <w:p>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27</w:t>
      </w:r>
      <w:r>
        <w:rPr>
          <w:rFonts w:hint="eastAsia" w:ascii="宋体" w:hAnsi="宋体"/>
          <w:sz w:val="24"/>
          <w:highlight w:val="none"/>
        </w:rPr>
        <w:t>日</w:t>
      </w:r>
    </w:p>
    <w:p/>
    <w:p>
      <w:pPr>
        <w:pStyle w:val="16"/>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第二部分  用户需求书</w:t>
      </w:r>
    </w:p>
    <w:bookmarkEnd w:id="3"/>
    <w:p>
      <w:pPr>
        <w:numPr>
          <w:ilvl w:val="0"/>
          <w:numId w:val="2"/>
        </w:numPr>
        <w:spacing w:line="560" w:lineRule="exact"/>
        <w:ind w:left="425" w:leftChars="0" w:hanging="425" w:firstLineChars="0"/>
        <w:rPr>
          <w:rFonts w:hint="eastAsia" w:ascii="宋体" w:hAnsi="宋体" w:cs="宋体"/>
          <w:b/>
          <w:bCs/>
          <w:sz w:val="24"/>
        </w:rPr>
      </w:pPr>
      <w:r>
        <w:rPr>
          <w:rFonts w:hint="eastAsia" w:ascii="宋体" w:hAnsi="宋体" w:cs="宋体"/>
          <w:b/>
          <w:bCs/>
          <w:sz w:val="24"/>
          <w:lang w:val="en-US" w:eastAsia="zh-CN"/>
        </w:rPr>
        <w:t>总体要求</w:t>
      </w:r>
    </w:p>
    <w:p>
      <w:pPr>
        <w:pStyle w:val="6"/>
        <w:keepNext/>
        <w:keepLines/>
        <w:pageBreakBefore w:val="0"/>
        <w:widowControl/>
        <w:numPr>
          <w:ilvl w:val="0"/>
          <w:numId w:val="3"/>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用户需求书中的服务指标为最低要求。</w:t>
      </w:r>
    </w:p>
    <w:p>
      <w:pPr>
        <w:pStyle w:val="6"/>
        <w:keepNext/>
        <w:keepLines/>
        <w:pageBreakBefore w:val="0"/>
        <w:widowControl/>
        <w:numPr>
          <w:ilvl w:val="0"/>
          <w:numId w:val="3"/>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供应商要特别加以注意并完全满足所有要求，任何负偏离都有可能导致失去参评资格。</w:t>
      </w:r>
    </w:p>
    <w:p>
      <w:pPr>
        <w:numPr>
          <w:ilvl w:val="0"/>
          <w:numId w:val="2"/>
        </w:numPr>
        <w:spacing w:line="560" w:lineRule="exact"/>
        <w:ind w:left="425" w:leftChars="0" w:hanging="425" w:firstLineChars="0"/>
        <w:rPr>
          <w:rFonts w:hint="eastAsia" w:ascii="宋体" w:hAnsi="宋体" w:cs="宋体"/>
          <w:b/>
          <w:bCs/>
          <w:sz w:val="24"/>
        </w:rPr>
      </w:pPr>
      <w:r>
        <w:rPr>
          <w:rFonts w:hint="eastAsia" w:ascii="宋体" w:hAnsi="宋体" w:cs="宋体"/>
          <w:b/>
          <w:bCs/>
          <w:sz w:val="24"/>
          <w:lang w:val="en-US" w:eastAsia="zh-CN"/>
        </w:rPr>
        <w:t>项目概要</w:t>
      </w:r>
    </w:p>
    <w:p>
      <w:pPr>
        <w:numPr>
          <w:ilvl w:val="0"/>
          <w:numId w:val="4"/>
        </w:numPr>
        <w:spacing w:line="560" w:lineRule="exact"/>
        <w:ind w:left="0" w:leftChars="0" w:firstLine="420" w:firstLineChars="0"/>
        <w:rPr>
          <w:rFonts w:ascii="宋体" w:hAnsi="宋体" w:cs="宋体"/>
          <w:sz w:val="24"/>
        </w:rPr>
      </w:pPr>
      <w:r>
        <w:rPr>
          <w:rFonts w:hint="eastAsia" w:ascii="宋体" w:hAnsi="宋体" w:cs="宋体"/>
          <w:sz w:val="24"/>
        </w:rPr>
        <w:t>项目名称：</w:t>
      </w:r>
      <w:r>
        <w:rPr>
          <w:rFonts w:hint="eastAsia" w:ascii="宋体" w:hAnsi="宋体" w:cs="宋体"/>
          <w:sz w:val="24"/>
          <w:lang w:eastAsia="zh-CN"/>
        </w:rPr>
        <w:t>中山市城市公交营运数字化转型升级策略研究咨询服务采购项目（第三次）</w:t>
      </w:r>
    </w:p>
    <w:p>
      <w:pPr>
        <w:numPr>
          <w:ilvl w:val="0"/>
          <w:numId w:val="4"/>
        </w:numPr>
        <w:spacing w:line="560" w:lineRule="exact"/>
        <w:ind w:left="0" w:leftChars="0" w:firstLine="420" w:firstLineChars="0"/>
        <w:rPr>
          <w:rFonts w:hint="eastAsia" w:ascii="宋体" w:hAnsi="宋体" w:eastAsia="宋体" w:cs="宋体"/>
          <w:sz w:val="24"/>
        </w:rPr>
      </w:pPr>
      <w:r>
        <w:rPr>
          <w:rFonts w:hint="eastAsia" w:ascii="宋体" w:hAnsi="宋体" w:eastAsia="宋体" w:cs="宋体"/>
          <w:sz w:val="24"/>
        </w:rPr>
        <w:t>预算金额及报价上限：不高于¥</w:t>
      </w:r>
      <w:r>
        <w:rPr>
          <w:rFonts w:hint="eastAsia" w:ascii="宋体" w:hAnsi="宋体" w:cs="宋体"/>
          <w:sz w:val="24"/>
          <w:lang w:val="en-US" w:eastAsia="zh-CN"/>
        </w:rPr>
        <w:t>490,000</w:t>
      </w:r>
      <w:r>
        <w:rPr>
          <w:rFonts w:hint="eastAsia" w:ascii="宋体" w:hAnsi="宋体" w:eastAsia="宋体" w:cs="宋体"/>
          <w:sz w:val="24"/>
        </w:rPr>
        <w:t>.</w:t>
      </w:r>
      <w:r>
        <w:rPr>
          <w:rFonts w:hint="eastAsia" w:ascii="宋体" w:hAnsi="宋体" w:eastAsia="宋体" w:cs="宋体"/>
          <w:sz w:val="24"/>
          <w:lang w:val="en-US" w:eastAsia="zh-CN"/>
        </w:rPr>
        <w:t>00</w:t>
      </w:r>
      <w:r>
        <w:rPr>
          <w:rFonts w:hint="eastAsia" w:ascii="宋体" w:hAnsi="宋体" w:eastAsia="宋体" w:cs="宋体"/>
          <w:sz w:val="24"/>
        </w:rPr>
        <w:t>元。</w:t>
      </w:r>
    </w:p>
    <w:p>
      <w:pPr>
        <w:numPr>
          <w:ilvl w:val="0"/>
          <w:numId w:val="4"/>
        </w:numPr>
        <w:spacing w:line="560" w:lineRule="exact"/>
        <w:ind w:left="0" w:leftChars="0" w:firstLine="420" w:firstLineChars="0"/>
        <w:rPr>
          <w:rFonts w:hint="default" w:ascii="宋体" w:hAnsi="宋体" w:eastAsia="宋体" w:cs="宋体"/>
          <w:sz w:val="24"/>
          <w:lang w:val="en-US" w:eastAsia="zh-CN"/>
        </w:rPr>
      </w:pPr>
      <w:r>
        <w:rPr>
          <w:rFonts w:hint="eastAsia" w:ascii="宋体" w:hAnsi="宋体" w:eastAsia="宋体" w:cs="宋体"/>
          <w:sz w:val="24"/>
          <w:lang w:val="en-US" w:eastAsia="zh-CN"/>
        </w:rPr>
        <w:t>项目</w:t>
      </w:r>
      <w:r>
        <w:rPr>
          <w:rFonts w:hint="eastAsia" w:ascii="宋体" w:hAnsi="宋体" w:cs="宋体"/>
          <w:sz w:val="24"/>
          <w:lang w:val="en-US" w:eastAsia="zh-CN"/>
        </w:rPr>
        <w:t>合同</w:t>
      </w:r>
      <w:r>
        <w:rPr>
          <w:rFonts w:hint="eastAsia" w:ascii="宋体" w:hAnsi="宋体" w:eastAsia="宋体" w:cs="宋体"/>
          <w:sz w:val="24"/>
          <w:lang w:val="en-US" w:eastAsia="zh-CN"/>
        </w:rPr>
        <w:t>期：</w:t>
      </w:r>
      <w:r>
        <w:rPr>
          <w:rFonts w:hint="eastAsia" w:ascii="宋体" w:hAnsi="宋体" w:cs="宋体"/>
          <w:sz w:val="24"/>
          <w:lang w:val="en-US" w:eastAsia="zh-CN"/>
        </w:rPr>
        <w:t>自合同签订之日起1年</w:t>
      </w:r>
      <w:r>
        <w:rPr>
          <w:rFonts w:hint="eastAsia" w:ascii="宋体" w:hAnsi="宋体" w:eastAsia="宋体" w:cs="宋体"/>
          <w:sz w:val="24"/>
          <w:lang w:val="en-US" w:eastAsia="zh-CN"/>
        </w:rPr>
        <w:t>。</w:t>
      </w:r>
    </w:p>
    <w:p>
      <w:pPr>
        <w:numPr>
          <w:ilvl w:val="0"/>
          <w:numId w:val="4"/>
        </w:numPr>
        <w:spacing w:line="560" w:lineRule="exact"/>
        <w:ind w:left="0" w:leftChars="0" w:firstLine="420" w:firstLineChars="0"/>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宋体" w:hAnsi="宋体" w:cs="宋体"/>
          <w:sz w:val="24"/>
          <w:lang w:val="en-US" w:eastAsia="zh-CN"/>
        </w:rPr>
        <w:t>结算方式</w:t>
      </w:r>
      <w:r>
        <w:rPr>
          <w:rFonts w:hint="eastAsia" w:ascii="宋体" w:hAnsi="宋体" w:eastAsia="宋体" w:cs="宋体"/>
          <w:sz w:val="24"/>
          <w:lang w:val="en-US" w:eastAsia="zh-CN"/>
        </w:rPr>
        <w:t>:</w:t>
      </w:r>
    </w:p>
    <w:p>
      <w:pPr>
        <w:numPr>
          <w:ilvl w:val="0"/>
          <w:numId w:val="5"/>
        </w:numPr>
        <w:spacing w:line="560" w:lineRule="exact"/>
        <w:ind w:left="0" w:leftChars="0" w:firstLine="420" w:firstLineChars="175"/>
        <w:rPr>
          <w:rFonts w:hint="eastAsia" w:ascii="宋体" w:hAnsi="宋体" w:eastAsia="宋体" w:cs="宋体"/>
          <w:sz w:val="24"/>
          <w:lang w:val="en-US" w:eastAsia="zh-CN"/>
        </w:rPr>
      </w:pPr>
      <w:r>
        <w:rPr>
          <w:rFonts w:hint="eastAsia" w:ascii="宋体" w:hAnsi="宋体" w:eastAsia="宋体" w:cs="宋体"/>
          <w:sz w:val="24"/>
          <w:lang w:val="en-US" w:eastAsia="zh-CN"/>
        </w:rPr>
        <w:t>合同签订后，中选人提交编制申请报告，并通过相关上级审核及上报，采购人支付合同款的20%。</w:t>
      </w:r>
    </w:p>
    <w:p>
      <w:pPr>
        <w:numPr>
          <w:ilvl w:val="0"/>
          <w:numId w:val="5"/>
        </w:numPr>
        <w:spacing w:line="560" w:lineRule="exact"/>
        <w:ind w:left="0" w:leftChars="0" w:firstLine="420" w:firstLineChars="175"/>
        <w:rPr>
          <w:rFonts w:hint="eastAsia" w:ascii="宋体" w:hAnsi="宋体" w:eastAsia="宋体" w:cs="宋体"/>
          <w:sz w:val="24"/>
          <w:lang w:val="en-US" w:eastAsia="zh-CN"/>
        </w:rPr>
      </w:pPr>
      <w:r>
        <w:rPr>
          <w:rFonts w:hint="eastAsia" w:ascii="宋体" w:hAnsi="宋体" w:cs="宋体"/>
          <w:sz w:val="24"/>
          <w:lang w:val="en-US" w:eastAsia="zh-CN"/>
        </w:rPr>
        <w:t>整体研究编制工作完成，并通过</w:t>
      </w:r>
      <w:r>
        <w:rPr>
          <w:rFonts w:hint="eastAsia" w:ascii="宋体" w:hAnsi="宋体" w:eastAsia="宋体" w:cs="宋体"/>
          <w:sz w:val="24"/>
          <w:lang w:val="en-US" w:eastAsia="zh-CN"/>
        </w:rPr>
        <w:t>获评省级城市公交行业创新发展优选项目</w:t>
      </w:r>
      <w:r>
        <w:rPr>
          <w:rFonts w:hint="eastAsia" w:ascii="宋体" w:hAnsi="宋体" w:cs="宋体"/>
          <w:sz w:val="24"/>
          <w:lang w:val="en-US" w:eastAsia="zh-CN"/>
        </w:rPr>
        <w:t>后</w:t>
      </w:r>
      <w:r>
        <w:rPr>
          <w:rFonts w:hint="eastAsia" w:ascii="宋体" w:hAnsi="宋体" w:eastAsia="宋体" w:cs="宋体"/>
          <w:sz w:val="24"/>
          <w:lang w:val="en-US" w:eastAsia="zh-CN"/>
        </w:rPr>
        <w:t>，自有关获评通知公布之日起30个工作日内，采购人支付合同款80%。</w:t>
      </w:r>
    </w:p>
    <w:p>
      <w:pPr>
        <w:numPr>
          <w:ilvl w:val="0"/>
          <w:numId w:val="5"/>
        </w:numPr>
        <w:spacing w:line="560" w:lineRule="exact"/>
        <w:ind w:left="0" w:leftChars="0" w:firstLine="420" w:firstLineChars="175"/>
        <w:rPr>
          <w:rFonts w:hint="default" w:ascii="宋体" w:hAnsi="宋体" w:eastAsia="宋体" w:cs="宋体"/>
          <w:sz w:val="24"/>
          <w:lang w:val="en-US" w:eastAsia="zh-CN"/>
        </w:rPr>
      </w:pPr>
      <w:r>
        <w:rPr>
          <w:rFonts w:hint="eastAsia" w:ascii="宋体" w:hAnsi="宋体" w:eastAsia="宋体" w:cs="宋体"/>
          <w:sz w:val="24"/>
          <w:lang w:val="en-US" w:eastAsia="zh-CN"/>
        </w:rPr>
        <w:t>在申请合同款时，需满足</w:t>
      </w:r>
      <w:r>
        <w:rPr>
          <w:rFonts w:hint="eastAsia" w:ascii="宋体" w:hAnsi="宋体" w:cs="宋体"/>
          <w:sz w:val="24"/>
          <w:lang w:val="en-US" w:eastAsia="zh-CN"/>
        </w:rPr>
        <w:t>上述</w:t>
      </w:r>
      <w:r>
        <w:rPr>
          <w:rFonts w:hint="eastAsia" w:ascii="宋体" w:hAnsi="宋体" w:eastAsia="宋体" w:cs="宋体"/>
          <w:sz w:val="24"/>
          <w:lang w:val="en-US" w:eastAsia="zh-CN"/>
        </w:rPr>
        <w:t>对应</w:t>
      </w:r>
      <w:r>
        <w:rPr>
          <w:rFonts w:hint="eastAsia" w:ascii="宋体" w:hAnsi="宋体" w:cs="宋体"/>
          <w:sz w:val="24"/>
          <w:lang w:val="en-US" w:eastAsia="zh-CN"/>
        </w:rPr>
        <w:t>结算</w:t>
      </w:r>
      <w:r>
        <w:rPr>
          <w:rFonts w:hint="eastAsia" w:ascii="宋体" w:hAnsi="宋体" w:eastAsia="宋体" w:cs="宋体"/>
          <w:sz w:val="24"/>
          <w:lang w:val="en-US" w:eastAsia="zh-CN"/>
        </w:rPr>
        <w:t>条件且开具同等金额的发票给采购人</w:t>
      </w:r>
      <w:r>
        <w:rPr>
          <w:rFonts w:hint="eastAsia" w:ascii="宋体" w:hAnsi="宋体" w:cs="宋体"/>
          <w:sz w:val="24"/>
          <w:lang w:val="en-US" w:eastAsia="zh-CN"/>
        </w:rPr>
        <w:t>，如不满足则不需支付</w:t>
      </w:r>
      <w:r>
        <w:rPr>
          <w:rFonts w:hint="eastAsia" w:ascii="宋体" w:hAnsi="宋体" w:eastAsia="宋体" w:cs="宋体"/>
          <w:sz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cs="宋体"/>
          <w:b/>
          <w:bCs/>
          <w:sz w:val="24"/>
          <w:lang w:val="en-US" w:eastAsia="zh-CN"/>
        </w:rPr>
      </w:pPr>
      <w:r>
        <w:rPr>
          <w:rFonts w:hint="eastAsia" w:ascii="宋体" w:hAnsi="宋体" w:cs="宋体"/>
          <w:b/>
          <w:bCs/>
          <w:sz w:val="24"/>
          <w:lang w:val="en-US" w:eastAsia="zh-CN"/>
        </w:rPr>
        <w:t>服务内容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研究编制以下内容：</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cs="宋体"/>
          <w:sz w:val="24"/>
          <w:lang w:val="en-US" w:eastAsia="zh-CN"/>
        </w:rPr>
      </w:pPr>
      <w:r>
        <w:rPr>
          <w:rFonts w:hint="eastAsia" w:ascii="宋体" w:hAnsi="宋体" w:cs="宋体"/>
          <w:sz w:val="24"/>
          <w:lang w:val="en-US" w:eastAsia="zh-CN"/>
        </w:rPr>
        <w:t>分析中山市城市公交数字化转型发展现状;</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剖析中山市城市公交数字化转型面临主要障碍;</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借鉴国内城市公交数字化转型升级的主要经验;</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中山市城市公交数字化转型发展目标和思路;</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构建中山市城市公交数字化转型升级策略体系;</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中山市城市公交数字化转型升级保障措施;</w:t>
      </w:r>
    </w:p>
    <w:p>
      <w:pPr>
        <w:numPr>
          <w:ilvl w:val="0"/>
          <w:numId w:val="6"/>
        </w:numPr>
        <w:spacing w:line="560" w:lineRule="exact"/>
        <w:ind w:left="0" w:leftChars="0" w:firstLine="420" w:firstLineChars="0"/>
        <w:rPr>
          <w:rFonts w:hint="default" w:ascii="宋体" w:hAnsi="宋体" w:eastAsia="宋体" w:cs="宋体"/>
          <w:sz w:val="24"/>
          <w:lang w:val="en-US" w:eastAsia="zh-CN"/>
        </w:rPr>
      </w:pPr>
      <w:r>
        <w:rPr>
          <w:rFonts w:hint="eastAsia" w:ascii="宋体" w:hAnsi="宋体" w:cs="宋体"/>
          <w:sz w:val="24"/>
          <w:lang w:val="en-US" w:eastAsia="zh-CN"/>
        </w:rPr>
        <w:t>2023年度省级城市公交行业创新发展优选项目申报评估咨询。</w:t>
      </w:r>
    </w:p>
    <w:p>
      <w:pPr>
        <w:pStyle w:val="2"/>
        <w:rPr>
          <w:rFonts w:hint="default"/>
          <w:lang w:val="en-US" w:eastAsia="zh-CN"/>
        </w:rPr>
      </w:pPr>
    </w:p>
    <w:p>
      <w:pPr>
        <w:rPr>
          <w:rFonts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31"/>
        <w:spacing w:line="560" w:lineRule="exact"/>
        <w:ind w:firstLine="480" w:firstLineChars="200"/>
        <w:rPr>
          <w:rFonts w:ascii="宋体" w:hAnsi="宋体" w:cs="宋体"/>
          <w:sz w:val="24"/>
        </w:rPr>
      </w:pPr>
      <w:r>
        <w:rPr>
          <w:rFonts w:hint="eastAsia" w:ascii="宋体" w:hAnsi="宋体" w:cs="宋体"/>
          <w:sz w:val="24"/>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二、评审标准为：资格评审+综合评审，共2个环节，评标委员会先进行资格评审，再进行综合评审。只有</w:t>
      </w:r>
      <w:r>
        <w:rPr>
          <w:rFonts w:hint="eastAsia" w:ascii="宋体" w:hAnsi="宋体" w:cs="宋体"/>
          <w:sz w:val="24"/>
          <w:lang w:val="en-US" w:eastAsia="zh-CN"/>
        </w:rPr>
        <w:t>资格</w:t>
      </w:r>
      <w:r>
        <w:rPr>
          <w:rFonts w:hint="eastAsia" w:ascii="宋体" w:hAnsi="宋体" w:cs="宋体"/>
          <w:sz w:val="24"/>
        </w:rPr>
        <w:t>评审结论为“通过”的参评供应商才能进入综合评审。</w:t>
      </w:r>
    </w:p>
    <w:p>
      <w:pPr>
        <w:pStyle w:val="31"/>
        <w:spacing w:line="560" w:lineRule="exact"/>
        <w:ind w:firstLine="480" w:firstLineChars="200"/>
        <w:rPr>
          <w:rFonts w:ascii="宋体" w:hAnsi="宋体" w:cs="宋体"/>
          <w:sz w:val="24"/>
        </w:rPr>
      </w:pPr>
      <w:r>
        <w:rPr>
          <w:rFonts w:hint="eastAsia" w:ascii="宋体" w:hAnsi="宋体" w:cs="宋体"/>
          <w:sz w:val="24"/>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rPr>
      </w:pPr>
      <w:r>
        <w:rPr>
          <w:rFonts w:hint="eastAsia" w:ascii="宋体" w:hAnsi="宋体" w:cs="宋体"/>
          <w:sz w:val="24"/>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bottom"/>
          </w:tcPr>
          <w:p>
            <w:pPr>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技术商务评分</w:t>
            </w:r>
          </w:p>
        </w:tc>
        <w:tc>
          <w:tcPr>
            <w:tcW w:w="2536" w:type="dxa"/>
            <w:tcBorders>
              <w:tl2br w:val="nil"/>
              <w:tr2bl w:val="nil"/>
            </w:tcBorders>
            <w:shd w:val="clear" w:color="auto" w:fill="D9D9D9"/>
            <w:vAlign w:val="bottom"/>
          </w:tcPr>
          <w:p>
            <w:pPr>
              <w:spacing w:line="360" w:lineRule="auto"/>
              <w:jc w:val="center"/>
              <w:rPr>
                <w:rFonts w:ascii="宋体" w:hAnsi="宋体" w:cs="宋体"/>
                <w:b/>
                <w:bCs/>
                <w:sz w:val="24"/>
                <w:szCs w:val="24"/>
              </w:rPr>
            </w:pPr>
            <w:r>
              <w:rPr>
                <w:rFonts w:hint="eastAsia" w:ascii="宋体" w:hAnsi="宋体" w:cs="宋体"/>
                <w:b/>
                <w:bCs/>
                <w:sz w:val="24"/>
                <w:szCs w:val="24"/>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bottom"/>
          </w:tcPr>
          <w:p>
            <w:pPr>
              <w:spacing w:line="360" w:lineRule="auto"/>
              <w:jc w:val="center"/>
              <w:rPr>
                <w:sz w:val="24"/>
                <w:szCs w:val="32"/>
              </w:rPr>
            </w:pPr>
            <w:r>
              <w:rPr>
                <w:rFonts w:hint="eastAsia" w:ascii="宋体" w:hAnsi="宋体" w:cs="宋体"/>
                <w:b/>
                <w:bCs/>
                <w:sz w:val="24"/>
                <w:szCs w:val="24"/>
                <w:lang w:val="en-US" w:eastAsia="zh-CN"/>
              </w:rPr>
              <w:t>60</w:t>
            </w:r>
            <w:r>
              <w:rPr>
                <w:rFonts w:hint="eastAsia" w:ascii="宋体" w:hAnsi="宋体" w:cs="宋体"/>
                <w:b/>
                <w:bCs/>
                <w:sz w:val="24"/>
                <w:szCs w:val="24"/>
              </w:rPr>
              <w:t>分</w:t>
            </w:r>
          </w:p>
        </w:tc>
        <w:tc>
          <w:tcPr>
            <w:tcW w:w="2536" w:type="dxa"/>
            <w:tcBorders>
              <w:tl2br w:val="nil"/>
              <w:tr2bl w:val="nil"/>
            </w:tcBorders>
            <w:vAlign w:val="bottom"/>
          </w:tcPr>
          <w:p>
            <w:pPr>
              <w:spacing w:line="360" w:lineRule="auto"/>
              <w:jc w:val="center"/>
              <w:rPr>
                <w:rFonts w:ascii="宋体" w:hAnsi="宋体" w:cs="宋体"/>
                <w:b/>
                <w:bCs/>
                <w:sz w:val="24"/>
                <w:szCs w:val="24"/>
              </w:rPr>
            </w:pPr>
            <w:r>
              <w:rPr>
                <w:rFonts w:hint="eastAsia" w:ascii="宋体" w:hAnsi="宋体" w:cs="宋体"/>
                <w:b/>
                <w:bCs/>
                <w:sz w:val="24"/>
                <w:szCs w:val="24"/>
                <w:lang w:val="en-US" w:eastAsia="zh-CN"/>
              </w:rPr>
              <w:t>40</w:t>
            </w:r>
            <w:r>
              <w:rPr>
                <w:rFonts w:hint="eastAsia" w:ascii="宋体" w:hAnsi="宋体" w:cs="宋体"/>
                <w:b/>
                <w:bCs/>
                <w:sz w:val="24"/>
                <w:szCs w:val="24"/>
              </w:rPr>
              <w:t>分</w:t>
            </w:r>
          </w:p>
        </w:tc>
      </w:tr>
    </w:tbl>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五、综合评审方法</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（二）价格评分：</w:t>
      </w:r>
      <w:r>
        <w:rPr>
          <w:rFonts w:hint="eastAsia" w:ascii="宋体" w:hAnsi="宋体" w:cs="宋体"/>
          <w:sz w:val="24"/>
          <w:szCs w:val="24"/>
        </w:rPr>
        <w:t>对通过资格审查的参评供应商进行价格评分，评标委员会校核后的各报价价格定义为评标价格。</w:t>
      </w:r>
      <w:r>
        <w:rPr>
          <w:rFonts w:hint="eastAsia" w:ascii="宋体" w:hAnsi="宋体" w:cs="宋体"/>
          <w:sz w:val="24"/>
        </w:rPr>
        <w:t>取各评标价格的算术平均值为基准价格。当参评</w:t>
      </w:r>
      <w:r>
        <w:rPr>
          <w:rFonts w:hint="eastAsia" w:ascii="宋体" w:hAnsi="宋体" w:cs="宋体"/>
          <w:sz w:val="24"/>
          <w:lang w:val="en-US" w:eastAsia="zh-CN"/>
        </w:rPr>
        <w:t>供应商</w:t>
      </w:r>
      <w:r>
        <w:rPr>
          <w:rFonts w:hint="eastAsia" w:ascii="宋体" w:hAnsi="宋体" w:cs="宋体"/>
          <w:sz w:val="24"/>
        </w:rPr>
        <w:t>的评标价格等于基准价格时为满分</w:t>
      </w:r>
      <w:r>
        <w:rPr>
          <w:rFonts w:hint="eastAsia" w:ascii="宋体" w:hAnsi="宋体" w:cs="宋体"/>
          <w:sz w:val="24"/>
          <w:lang w:val="en-US" w:eastAsia="zh-CN"/>
        </w:rPr>
        <w:t>40</w:t>
      </w:r>
      <w:r>
        <w:rPr>
          <w:rFonts w:hint="eastAsia" w:ascii="宋体" w:hAnsi="宋体" w:cs="宋体"/>
          <w:sz w:val="24"/>
        </w:rPr>
        <w:t>分，高于基准价格的评标价格则按其比例，每高于基准价格的</w:t>
      </w:r>
      <w:r>
        <w:rPr>
          <w:rFonts w:hint="eastAsia" w:ascii="宋体" w:hAnsi="宋体" w:cs="宋体"/>
          <w:sz w:val="24"/>
          <w:lang w:val="en-US" w:eastAsia="zh-CN"/>
        </w:rPr>
        <w:t>1</w:t>
      </w:r>
      <w:r>
        <w:rPr>
          <w:rFonts w:hint="eastAsia" w:ascii="宋体" w:hAnsi="宋体" w:cs="宋体"/>
          <w:sz w:val="24"/>
        </w:rPr>
        <w:t>％减</w:t>
      </w:r>
      <w:r>
        <w:rPr>
          <w:rFonts w:hint="eastAsia" w:ascii="宋体" w:hAnsi="宋体" w:cs="宋体"/>
          <w:sz w:val="24"/>
          <w:lang w:val="en-US" w:eastAsia="zh-CN"/>
        </w:rPr>
        <w:t>0.3</w:t>
      </w:r>
      <w:r>
        <w:rPr>
          <w:rFonts w:hint="eastAsia" w:ascii="宋体" w:hAnsi="宋体" w:cs="宋体"/>
          <w:sz w:val="24"/>
        </w:rPr>
        <w:t>分，低于基准价格的评标价格也按其比例，每低于基准价格的1％减0.</w:t>
      </w:r>
      <w:r>
        <w:rPr>
          <w:rFonts w:hint="eastAsia" w:ascii="宋体" w:hAnsi="宋体" w:cs="宋体"/>
          <w:sz w:val="24"/>
          <w:lang w:val="en-US" w:eastAsia="zh-CN"/>
        </w:rPr>
        <w:t>1</w:t>
      </w:r>
      <w:r>
        <w:rPr>
          <w:rFonts w:hint="eastAsia" w:ascii="宋体" w:hAnsi="宋体" w:cs="宋体"/>
          <w:sz w:val="24"/>
        </w:rPr>
        <w:t>分，如此类推，扣至0分止。算出所有参评单位的价格</w:t>
      </w:r>
      <w:r>
        <w:rPr>
          <w:rFonts w:hint="eastAsia" w:ascii="宋体" w:hAnsi="宋体" w:cs="宋体"/>
          <w:sz w:val="24"/>
          <w:lang w:val="en-US" w:eastAsia="zh-CN"/>
        </w:rPr>
        <w:t>得</w:t>
      </w:r>
      <w:r>
        <w:rPr>
          <w:rFonts w:hint="eastAsia" w:ascii="宋体" w:hAnsi="宋体" w:cs="宋体"/>
          <w:sz w:val="24"/>
        </w:rPr>
        <w:t>分。分数精确到小数点后2位。</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（三）根据技术商务及价格的综合评分，计算各参评单位的总得分。按得分从高到低排名（得分相同时，报价低者优先）。</w:t>
      </w:r>
    </w:p>
    <w:p>
      <w:pPr>
        <w:pStyle w:val="31"/>
        <w:widowControl/>
        <w:spacing w:line="560" w:lineRule="exact"/>
        <w:ind w:firstLine="480" w:firstLineChars="200"/>
        <w:rPr>
          <w:rFonts w:ascii="宋体" w:hAnsi="宋体" w:cs="宋体"/>
          <w:sz w:val="24"/>
        </w:rPr>
      </w:pPr>
      <w:r>
        <w:rPr>
          <w:rFonts w:hint="eastAsia" w:ascii="宋体" w:hAnsi="宋体" w:cs="宋体"/>
          <w:sz w:val="24"/>
        </w:rPr>
        <w:t>六、评审结果</w:t>
      </w:r>
    </w:p>
    <w:p>
      <w:pPr>
        <w:pStyle w:val="31"/>
        <w:spacing w:line="560" w:lineRule="exact"/>
        <w:ind w:firstLine="480" w:firstLineChars="200"/>
        <w:rPr>
          <w:rFonts w:ascii="宋体" w:hAnsi="宋体" w:cs="宋体"/>
          <w:sz w:val="24"/>
        </w:rPr>
      </w:pPr>
      <w:r>
        <w:rPr>
          <w:rFonts w:hint="eastAsia" w:ascii="宋体" w:hAnsi="宋体" w:cs="宋体"/>
          <w:sz w:val="24"/>
        </w:rPr>
        <w:t>根据综合评审得分，得分最高的参评供应商为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w:t>
      </w:r>
      <w:r>
        <w:rPr>
          <w:rFonts w:hint="eastAsia" w:ascii="宋体" w:hAnsi="宋体" w:cs="宋体"/>
          <w:bCs/>
          <w:snapToGrid w:val="0"/>
          <w:kern w:val="0"/>
          <w:sz w:val="24"/>
          <w:lang w:val="en-US" w:eastAsia="zh-CN"/>
        </w:rPr>
        <w:t>中</w:t>
      </w:r>
      <w:r>
        <w:rPr>
          <w:rFonts w:hint="eastAsia" w:ascii="宋体" w:hAnsi="宋体" w:cs="宋体"/>
          <w:bCs/>
          <w:snapToGrid w:val="0"/>
          <w:kern w:val="0"/>
          <w:sz w:val="24"/>
        </w:rPr>
        <w:t>选通知书》，并</w:t>
      </w:r>
      <w:r>
        <w:rPr>
          <w:rFonts w:hint="eastAsia" w:ascii="宋体" w:hAnsi="宋体" w:cs="宋体"/>
          <w:sz w:val="24"/>
        </w:rPr>
        <w:t>确认意向。如第一中选候选人因故不能履约的，采购人可以确定第二中选候选人为中选供应商，以此类推。</w:t>
      </w:r>
    </w:p>
    <w:p>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七、资格评审表</w:t>
      </w:r>
    </w:p>
    <w:p>
      <w:pPr>
        <w:pStyle w:val="44"/>
        <w:spacing w:line="240" w:lineRule="auto"/>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adjustRightInd w:val="0"/>
        <w:snapToGrid w:val="0"/>
        <w:jc w:val="center"/>
        <w:rPr>
          <w:rFonts w:ascii="宋体" w:hAnsi="宋体" w:cs="宋体"/>
          <w:b/>
          <w:bCs/>
          <w:sz w:val="44"/>
          <w:szCs w:val="4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r>
              <w:rPr>
                <w:rFonts w:hint="eastAsia"/>
              </w:rPr>
              <w:t>具有独立承担民事责任能力的在中华人民共和国境内注册的企业法人或其他社会组织，提供营业执照等。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r>
              <w:rPr>
                <w:rFonts w:hint="eastAsia"/>
                <w:highlight w:val="none"/>
              </w:rPr>
              <w:t>参评供应商的</w:t>
            </w:r>
            <w:r>
              <w:rPr>
                <w:rFonts w:hint="eastAsia"/>
                <w:highlight w:val="none"/>
                <w:lang w:val="en-US" w:eastAsia="zh-CN"/>
              </w:rPr>
              <w:t>经营或业务范围必须至少涵盖以下相关领域中的任一项：规划研究、技术研究、决策支持</w:t>
            </w:r>
            <w:r>
              <w:rPr>
                <w:rFonts w:hint="eastAsia" w:ascii="Times New Roman" w:hAnsi="Times New Roman" w:eastAsia="宋体" w:cs="Times New Roman"/>
                <w:highlight w:val="none"/>
                <w:lang w:val="en-US" w:eastAsia="zh-CN"/>
              </w:rPr>
              <w:t>、智慧交通</w:t>
            </w:r>
            <w:r>
              <w:rPr>
                <w:rFonts w:hint="eastAsia"/>
                <w:highlight w:val="none"/>
                <w:lang w:val="en-US" w:eastAsia="zh-CN"/>
              </w:rPr>
              <w:t>、技术咨询</w:t>
            </w:r>
            <w:r>
              <w:rPr>
                <w:rFonts w:hint="eastAsia"/>
                <w:highlight w:val="none"/>
              </w:rPr>
              <w:t>等。（提供企业营业执照</w:t>
            </w:r>
            <w:r>
              <w:rPr>
                <w:rFonts w:hint="eastAsia"/>
                <w:highlight w:val="none"/>
                <w:lang w:val="en-US" w:eastAsia="zh-CN"/>
              </w:rPr>
              <w:t>或其他证明材料并加盖公章</w:t>
            </w:r>
            <w:r>
              <w:rPr>
                <w:rFonts w:hint="eastAsia"/>
                <w:highlight w:val="none"/>
              </w:rPr>
              <w:t>）</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pPr>
              <w:rPr>
                <w:rFonts w:hint="default" w:eastAsia="宋体"/>
                <w:lang w:val="en-US" w:eastAsia="zh-CN"/>
              </w:rPr>
            </w:pPr>
            <w:r>
              <w:rPr>
                <w:rFonts w:hint="eastAsia"/>
                <w:lang w:val="en-US" w:eastAsia="zh-CN"/>
              </w:rPr>
              <w:t>供应商承诺不得以任何方式转包或分包本项目。（提供《承诺函》）</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4</w:t>
            </w:r>
          </w:p>
        </w:tc>
        <w:tc>
          <w:tcPr>
            <w:tcW w:w="5758" w:type="dxa"/>
            <w:vAlign w:val="center"/>
          </w:tcPr>
          <w:p>
            <w:pPr>
              <w:rPr>
                <w:rFonts w:hint="eastAsia"/>
              </w:rPr>
            </w:pPr>
            <w:r>
              <w:rPr>
                <w:rFonts w:hint="eastAsia"/>
              </w:rPr>
              <w:t>参评供应商满足本项目的</w:t>
            </w:r>
            <w:r>
              <w:rPr>
                <w:rFonts w:hint="eastAsia"/>
                <w:lang w:val="en-US" w:eastAsia="zh-CN"/>
              </w:rPr>
              <w:t>全部</w:t>
            </w:r>
            <w:r>
              <w:rPr>
                <w:rFonts w:hint="eastAsia"/>
              </w:rPr>
              <w:t>需求，填写《需求响应表》并全部完全响应，无负偏离。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5758" w:type="dxa"/>
            <w:vAlign w:val="center"/>
          </w:tcPr>
          <w:p>
            <w:r>
              <w:rPr>
                <w:rFonts w:hint="eastAsia"/>
              </w:rPr>
              <w:t>非联合体</w:t>
            </w:r>
            <w:r>
              <w:rPr>
                <w:rFonts w:hint="eastAsia"/>
                <w:lang w:val="en-US" w:eastAsia="zh-CN"/>
              </w:rPr>
              <w:t>潜在供应商</w:t>
            </w:r>
            <w:r>
              <w:rPr>
                <w:rFonts w:hint="eastAsia" w:ascii="Times New Roman" w:hAnsi="Times New Roman" w:eastAsia="宋体" w:cs="Times New Roman"/>
              </w:rPr>
              <w:t>参评</w:t>
            </w:r>
            <w:r>
              <w:rPr>
                <w:rFonts w:hint="eastAsia" w:ascii="Times New Roman" w:hAnsi="Times New Roman" w:eastAsia="宋体" w:cs="Times New Roman"/>
                <w:lang w:val="en-US" w:eastAsia="zh-CN"/>
              </w:rPr>
              <w:t>报价</w:t>
            </w:r>
            <w:r>
              <w:rPr>
                <w:rFonts w:hint="eastAsia"/>
                <w:sz w:val="24"/>
              </w:rPr>
              <w:t>。</w:t>
            </w:r>
            <w:r>
              <w:rPr>
                <w:rFonts w:hint="eastAsia"/>
                <w:lang w:val="en-US" w:eastAsia="zh-CN"/>
              </w:rPr>
              <w:t>（提供《承诺函》）</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5758" w:type="dxa"/>
            <w:vAlign w:val="center"/>
          </w:tcPr>
          <w:p>
            <w:r>
              <w:rPr>
                <w:rFonts w:hint="eastAsia"/>
                <w:lang w:val="en-US" w:eastAsia="zh-CN"/>
              </w:rPr>
              <w:t>提供报价表，</w:t>
            </w:r>
            <w:r>
              <w:rPr>
                <w:rFonts w:hint="eastAsia"/>
              </w:rPr>
              <w:t>报价为唯一固定价且未超过报价</w:t>
            </w:r>
            <w:r>
              <w:rPr>
                <w:rFonts w:hint="eastAsia"/>
                <w:lang w:val="en-US" w:eastAsia="zh-CN"/>
              </w:rPr>
              <w:t>上</w:t>
            </w:r>
            <w:r>
              <w:rPr>
                <w:rFonts w:hint="eastAsia"/>
              </w:rPr>
              <w:t>限。</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758" w:type="dxa"/>
            <w:vAlign w:val="center"/>
          </w:tcPr>
          <w:p>
            <w:r>
              <w:rPr>
                <w:rFonts w:hint="eastAsia" w:ascii="宋体" w:hAnsi="宋体" w:eastAsia="宋体" w:cs="宋体"/>
                <w:bCs/>
                <w:color w:val="000000"/>
                <w:szCs w:val="21"/>
                <w:highlight w:val="none"/>
                <w:lang w:val="en-US" w:eastAsia="zh-CN"/>
              </w:rPr>
              <w:t>供应商承诺所提供材料真实、准确，并随时接受采购人核实查验。</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8</w:t>
            </w:r>
          </w:p>
        </w:tc>
        <w:tc>
          <w:tcPr>
            <w:tcW w:w="5758" w:type="dxa"/>
            <w:vAlign w:val="center"/>
          </w:tcPr>
          <w:p>
            <w:pP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w:t>
            </w:r>
            <w:r>
              <w:rPr>
                <w:rFonts w:hint="eastAsia" w:ascii="宋体" w:hAnsi="宋体" w:cs="宋体"/>
                <w:bCs/>
                <w:color w:val="000000"/>
                <w:szCs w:val="21"/>
                <w:highlight w:val="none"/>
                <w:lang w:val="en-US" w:eastAsia="zh-CN"/>
              </w:rPr>
              <w:t>采购</w:t>
            </w:r>
            <w:r>
              <w:rPr>
                <w:rFonts w:hint="eastAsia" w:ascii="宋体" w:hAnsi="宋体" w:eastAsia="宋体" w:cs="宋体"/>
                <w:bCs/>
                <w:color w:val="000000"/>
                <w:szCs w:val="21"/>
                <w:highlight w:val="none"/>
                <w:lang w:val="en-US" w:eastAsia="zh-CN"/>
              </w:rPr>
              <w:t>文件要求的其他条件（如装订要求、密封要求、盖章签署要求等）。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1．评标委员会对参评供应商是否满足要求逐条标注评审意见，符合的打“〇”，不符合的打“×”；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pPr>
        <w:spacing w:line="560" w:lineRule="exact"/>
        <w:rPr>
          <w:rFonts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sectPr>
          <w:headerReference r:id="rId9" w:type="default"/>
          <w:footerReference r:id="rId10" w:type="default"/>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r>
        <w:rPr>
          <w:rFonts w:hint="eastAsia" w:ascii="宋体" w:hAnsi="宋体" w:cs="宋体"/>
          <w:sz w:val="24"/>
        </w:rPr>
        <w:t>八、技术商务评分表</w:t>
      </w:r>
    </w:p>
    <w:p>
      <w:pPr>
        <w:jc w:val="center"/>
        <w:rPr>
          <w:rFonts w:ascii="宋体" w:hAnsi="宋体" w:cs="宋体"/>
          <w:b/>
          <w:bCs/>
          <w:sz w:val="44"/>
          <w:szCs w:val="44"/>
        </w:rPr>
      </w:pPr>
    </w:p>
    <w:p>
      <w:pPr>
        <w:jc w:val="center"/>
        <w:rPr>
          <w:rFonts w:ascii="宋体" w:hAnsi="宋体"/>
          <w:b/>
          <w:sz w:val="32"/>
          <w:szCs w:val="32"/>
        </w:rPr>
      </w:pPr>
      <w:r>
        <w:rPr>
          <w:rFonts w:hint="eastAsia" w:ascii="宋体" w:hAnsi="宋体" w:cs="宋体"/>
          <w:b/>
          <w:bCs/>
          <w:sz w:val="44"/>
          <w:szCs w:val="44"/>
        </w:rPr>
        <w:t>技术商务评分表</w:t>
      </w:r>
    </w:p>
    <w:p>
      <w:pPr>
        <w:jc w:val="center"/>
        <w:rPr>
          <w:rFonts w:ascii="宋体" w:hAnsi="宋体"/>
          <w:b/>
          <w:sz w:val="32"/>
          <w:szCs w:val="32"/>
        </w:rPr>
      </w:pP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rPr>
            </w:pPr>
            <w:r>
              <w:rPr>
                <w:rFonts w:hint="eastAsia" w:ascii="宋体" w:hAnsi="宋体" w:cs="宋体"/>
                <w:b/>
                <w:bCs/>
                <w:szCs w:val="21"/>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单位资质</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根据供应商获得的工程咨询资信证书等级：</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一档（8分）：获得交通运输类、信息工程类或其他与本项目业务范围相关的工程咨询单位甲级资信证书；</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二档（4分）：获得交通运输类、信息工程类或其他与本项目业务范围相关的工程咨询单位乙级资信证书；</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未获得工程咨询单位甲级或乙级资信证书的不得分。</w:t>
            </w:r>
          </w:p>
          <w:p>
            <w:pPr>
              <w:jc w:val="left"/>
              <w:rPr>
                <w:rFonts w:hint="default" w:ascii="宋体" w:hAnsi="宋体" w:cs="宋体"/>
                <w:kern w:val="2"/>
                <w:sz w:val="21"/>
                <w:szCs w:val="21"/>
                <w:lang w:val="en-US" w:eastAsia="zh-CN" w:bidi="ar-SA"/>
              </w:rPr>
            </w:pPr>
            <w:r>
              <w:rPr>
                <w:rFonts w:hint="eastAsia" w:ascii="宋体" w:hAnsi="宋体" w:cs="宋体"/>
                <w:szCs w:val="21"/>
                <w:highlight w:val="none"/>
                <w:lang w:val="en-US" w:eastAsia="zh-CN"/>
              </w:rPr>
              <w:t>注：</w:t>
            </w:r>
            <w:r>
              <w:rPr>
                <w:rFonts w:hint="eastAsia" w:ascii="宋体" w:hAnsi="宋体" w:cs="宋体"/>
                <w:szCs w:val="21"/>
                <w:highlight w:val="none"/>
              </w:rPr>
              <w:t>须提</w:t>
            </w:r>
            <w:r>
              <w:rPr>
                <w:rFonts w:hint="eastAsia" w:ascii="宋体" w:hAnsi="宋体" w:cs="宋体"/>
                <w:szCs w:val="21"/>
                <w:highlight w:val="none"/>
                <w:lang w:val="en-US" w:eastAsia="zh-CN"/>
              </w:rPr>
              <w:t>供</w:t>
            </w:r>
            <w:r>
              <w:rPr>
                <w:rFonts w:hint="eastAsia" w:ascii="宋体" w:hAnsi="宋体" w:cs="宋体"/>
                <w:kern w:val="2"/>
                <w:sz w:val="21"/>
                <w:szCs w:val="21"/>
                <w:highlight w:val="none"/>
                <w:lang w:val="en-US" w:eastAsia="zh-CN" w:bidi="ar-SA"/>
              </w:rPr>
              <w:t>资信证书复印件（加盖公章）</w:t>
            </w:r>
            <w:r>
              <w:rPr>
                <w:rFonts w:hint="eastAsia" w:ascii="宋体" w:hAnsi="宋体" w:cs="宋体"/>
                <w:szCs w:val="21"/>
                <w:highlight w:val="none"/>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778"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项目团队能力</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13</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eastAsia" w:ascii="宋体" w:hAnsi="宋体" w:cs="宋体"/>
                <w:szCs w:val="21"/>
                <w:highlight w:val="none"/>
              </w:rPr>
            </w:pPr>
            <w:r>
              <w:rPr>
                <w:rFonts w:hint="eastAsia" w:ascii="宋体" w:hAnsi="宋体" w:cs="宋体"/>
                <w:szCs w:val="21"/>
                <w:highlight w:val="none"/>
                <w:lang w:val="en-US" w:eastAsia="zh-CN"/>
              </w:rPr>
              <w:t>高级职称人员</w:t>
            </w:r>
            <w:r>
              <w:rPr>
                <w:rFonts w:hint="eastAsia" w:ascii="宋体" w:hAnsi="宋体" w:cs="宋体"/>
                <w:szCs w:val="21"/>
                <w:highlight w:val="none"/>
              </w:rPr>
              <w:t>：</w:t>
            </w:r>
            <w:r>
              <w:rPr>
                <w:rFonts w:hint="eastAsia" w:ascii="宋体" w:hAnsi="宋体" w:cs="宋体"/>
                <w:szCs w:val="21"/>
                <w:highlight w:val="none"/>
                <w:lang w:val="en-US" w:eastAsia="zh-CN"/>
              </w:rPr>
              <w:t>团队成员</w:t>
            </w:r>
            <w:r>
              <w:rPr>
                <w:rFonts w:hint="eastAsia" w:ascii="宋体" w:hAnsi="宋体" w:cs="宋体"/>
                <w:szCs w:val="21"/>
                <w:highlight w:val="none"/>
              </w:rPr>
              <w:t>具有</w:t>
            </w:r>
            <w:r>
              <w:rPr>
                <w:rFonts w:hint="eastAsia" w:ascii="宋体" w:hAnsi="宋体" w:cs="宋体"/>
                <w:szCs w:val="21"/>
                <w:highlight w:val="none"/>
                <w:lang w:val="en-US" w:eastAsia="zh-CN"/>
              </w:rPr>
              <w:t>规划类、交通运输类、经济类或信息化相关高级职称的，每提供一人得3分，</w:t>
            </w:r>
            <w:r>
              <w:rPr>
                <w:rFonts w:hint="eastAsia" w:ascii="宋体" w:hAnsi="宋体" w:cs="宋体"/>
                <w:szCs w:val="21"/>
                <w:highlight w:val="none"/>
              </w:rPr>
              <w:t>未提供</w:t>
            </w:r>
            <w:r>
              <w:rPr>
                <w:rFonts w:hint="eastAsia" w:ascii="宋体" w:hAnsi="宋体" w:cs="宋体"/>
                <w:szCs w:val="21"/>
                <w:highlight w:val="none"/>
                <w:lang w:eastAsia="zh-CN"/>
              </w:rPr>
              <w:t>的</w:t>
            </w:r>
            <w:r>
              <w:rPr>
                <w:rFonts w:hint="eastAsia" w:ascii="宋体" w:hAnsi="宋体" w:cs="宋体"/>
                <w:szCs w:val="21"/>
                <w:highlight w:val="none"/>
              </w:rPr>
              <w:t>得0分</w:t>
            </w:r>
            <w:r>
              <w:rPr>
                <w:rFonts w:hint="eastAsia" w:ascii="宋体" w:hAnsi="宋体" w:cs="宋体"/>
                <w:szCs w:val="21"/>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9</w:t>
            </w:r>
            <w:r>
              <w:rPr>
                <w:rFonts w:hint="eastAsia" w:ascii="宋体" w:hAnsi="宋体" w:cs="宋体"/>
                <w:szCs w:val="21"/>
                <w:highlight w:val="none"/>
              </w:rPr>
              <w:t>分。</w:t>
            </w:r>
          </w:p>
          <w:p>
            <w:pPr>
              <w:jc w:val="left"/>
              <w:rPr>
                <w:rFonts w:hint="eastAsia" w:ascii="宋体" w:hAnsi="宋体" w:cs="宋体"/>
                <w:szCs w:val="21"/>
                <w:highlight w:val="none"/>
              </w:rPr>
            </w:pPr>
            <w:r>
              <w:rPr>
                <w:rFonts w:hint="eastAsia" w:ascii="宋体" w:hAnsi="宋体" w:cs="宋体"/>
                <w:szCs w:val="21"/>
                <w:highlight w:val="none"/>
                <w:lang w:val="en-US" w:eastAsia="zh-CN"/>
              </w:rPr>
              <w:t>中级职称人员</w:t>
            </w:r>
            <w:r>
              <w:rPr>
                <w:rFonts w:hint="eastAsia" w:ascii="宋体" w:hAnsi="宋体" w:cs="宋体"/>
                <w:szCs w:val="21"/>
                <w:highlight w:val="none"/>
              </w:rPr>
              <w:t>：</w:t>
            </w:r>
            <w:r>
              <w:rPr>
                <w:rFonts w:hint="eastAsia" w:ascii="宋体" w:hAnsi="宋体" w:cs="宋体"/>
                <w:szCs w:val="21"/>
                <w:highlight w:val="none"/>
                <w:lang w:val="en-US" w:eastAsia="zh-CN"/>
              </w:rPr>
              <w:t>团队成员</w:t>
            </w:r>
            <w:r>
              <w:rPr>
                <w:rFonts w:hint="eastAsia" w:ascii="宋体" w:hAnsi="宋体" w:cs="宋体"/>
                <w:szCs w:val="21"/>
                <w:highlight w:val="none"/>
              </w:rPr>
              <w:t>具有</w:t>
            </w:r>
            <w:r>
              <w:rPr>
                <w:rFonts w:hint="eastAsia" w:ascii="宋体" w:hAnsi="宋体" w:cs="宋体"/>
                <w:szCs w:val="21"/>
                <w:highlight w:val="none"/>
                <w:lang w:val="en-US" w:eastAsia="zh-CN"/>
              </w:rPr>
              <w:t>规划类、交通运输类、经济类或信息化相关中级职称的，每提供一人得2分，</w:t>
            </w:r>
            <w:r>
              <w:rPr>
                <w:rFonts w:hint="eastAsia" w:ascii="宋体" w:hAnsi="宋体" w:cs="宋体"/>
                <w:szCs w:val="21"/>
                <w:highlight w:val="none"/>
              </w:rPr>
              <w:t>未提供</w:t>
            </w:r>
            <w:r>
              <w:rPr>
                <w:rFonts w:hint="eastAsia" w:ascii="宋体" w:hAnsi="宋体" w:cs="宋体"/>
                <w:szCs w:val="21"/>
                <w:highlight w:val="none"/>
                <w:lang w:eastAsia="zh-CN"/>
              </w:rPr>
              <w:t>的</w:t>
            </w:r>
            <w:r>
              <w:rPr>
                <w:rFonts w:hint="eastAsia" w:ascii="宋体" w:hAnsi="宋体" w:cs="宋体"/>
                <w:szCs w:val="21"/>
                <w:highlight w:val="none"/>
              </w:rPr>
              <w:t>得0分</w:t>
            </w:r>
            <w:r>
              <w:rPr>
                <w:rFonts w:hint="eastAsia" w:ascii="宋体" w:hAnsi="宋体" w:cs="宋体"/>
                <w:szCs w:val="21"/>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4</w:t>
            </w:r>
            <w:r>
              <w:rPr>
                <w:rFonts w:hint="eastAsia" w:ascii="宋体" w:hAnsi="宋体" w:cs="宋体"/>
                <w:szCs w:val="21"/>
                <w:highlight w:val="none"/>
              </w:rPr>
              <w:t>分。</w:t>
            </w:r>
          </w:p>
          <w:p>
            <w:pPr>
              <w:jc w:val="left"/>
              <w:rPr>
                <w:rFonts w:hint="eastAsia" w:ascii="宋体" w:hAnsi="宋体" w:eastAsia="宋体" w:cs="宋体"/>
                <w:kern w:val="2"/>
                <w:sz w:val="21"/>
                <w:szCs w:val="21"/>
                <w:lang w:val="en-US" w:eastAsia="zh-CN" w:bidi="ar-SA"/>
              </w:rPr>
            </w:pPr>
            <w:r>
              <w:rPr>
                <w:rFonts w:hint="eastAsia" w:ascii="宋体" w:hAnsi="宋体" w:cs="宋体"/>
                <w:szCs w:val="21"/>
                <w:highlight w:val="none"/>
                <w:lang w:val="en-US" w:eastAsia="zh-CN"/>
              </w:rPr>
              <w:t>注：</w:t>
            </w:r>
            <w:r>
              <w:rPr>
                <w:rFonts w:hint="eastAsia" w:ascii="宋体" w:hAnsi="宋体" w:cs="宋体"/>
                <w:szCs w:val="21"/>
                <w:highlight w:val="none"/>
              </w:rPr>
              <w:t>须提供</w:t>
            </w:r>
            <w:r>
              <w:rPr>
                <w:rFonts w:hint="eastAsia" w:ascii="宋体" w:hAnsi="宋体" w:cs="宋体"/>
                <w:szCs w:val="21"/>
                <w:highlight w:val="none"/>
                <w:lang w:val="en-US" w:eastAsia="zh-CN"/>
              </w:rPr>
              <w:t>职称</w:t>
            </w:r>
            <w:r>
              <w:rPr>
                <w:rFonts w:hint="eastAsia" w:ascii="宋体" w:hAnsi="宋体" w:cs="宋体"/>
                <w:szCs w:val="21"/>
                <w:highlight w:val="none"/>
              </w:rPr>
              <w:t>证书复印件及2023年以来任意一</w:t>
            </w:r>
            <w:r>
              <w:rPr>
                <w:rFonts w:hint="eastAsia" w:ascii="宋体" w:hAnsi="宋体" w:cs="宋体"/>
                <w:szCs w:val="21"/>
                <w:highlight w:val="none"/>
                <w:lang w:val="en-US" w:eastAsia="zh-CN"/>
              </w:rPr>
              <w:t>个</w:t>
            </w:r>
            <w:r>
              <w:rPr>
                <w:rFonts w:hint="eastAsia" w:ascii="宋体" w:hAnsi="宋体" w:cs="宋体"/>
                <w:szCs w:val="21"/>
                <w:highlight w:val="none"/>
              </w:rPr>
              <w:t>月本单位社保缴交证明。</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819"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default" w:ascii="宋体" w:hAnsi="宋体" w:cs="宋体"/>
                <w:szCs w:val="21"/>
                <w:lang w:val="en-US" w:eastAsia="zh-CN"/>
              </w:rPr>
              <w:t>业绩</w:t>
            </w:r>
            <w:r>
              <w:rPr>
                <w:rFonts w:hint="eastAsia" w:ascii="宋体" w:hAnsi="宋体" w:cs="宋体"/>
                <w:szCs w:val="21"/>
                <w:lang w:val="en-US" w:eastAsia="zh-CN"/>
              </w:rPr>
              <w:t>经验</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15</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供应商自2021年以来（以合同签订时间为准）承接过</w:t>
            </w:r>
            <w:r>
              <w:rPr>
                <w:rFonts w:hint="eastAsia" w:ascii="宋体" w:hAnsi="宋体" w:cs="宋体"/>
                <w:color w:val="auto"/>
                <w:kern w:val="0"/>
                <w:szCs w:val="21"/>
                <w:highlight w:val="none"/>
                <w:lang w:val="en-US" w:eastAsia="zh-CN"/>
              </w:rPr>
              <w:t>交通运输行业规划研究咨询项目、报告编写、申报项目等</w:t>
            </w:r>
            <w:r>
              <w:rPr>
                <w:rFonts w:hint="default" w:ascii="宋体" w:hAnsi="宋体" w:cs="宋体"/>
                <w:color w:val="auto"/>
                <w:kern w:val="0"/>
                <w:szCs w:val="21"/>
                <w:highlight w:val="none"/>
                <w:lang w:val="en-US" w:eastAsia="zh-CN"/>
              </w:rPr>
              <w:t>相关</w:t>
            </w:r>
            <w:r>
              <w:rPr>
                <w:rFonts w:hint="eastAsia" w:ascii="宋体" w:hAnsi="宋体" w:cs="宋体"/>
                <w:color w:val="auto"/>
                <w:kern w:val="0"/>
                <w:szCs w:val="21"/>
                <w:highlight w:val="none"/>
                <w:lang w:val="en-US" w:eastAsia="zh-CN"/>
              </w:rPr>
              <w:t>同类</w:t>
            </w:r>
            <w:r>
              <w:rPr>
                <w:rFonts w:hint="default" w:ascii="宋体" w:hAnsi="宋体" w:cs="宋体"/>
                <w:color w:val="auto"/>
                <w:kern w:val="0"/>
                <w:szCs w:val="21"/>
                <w:highlight w:val="none"/>
                <w:lang w:val="en-US" w:eastAsia="zh-CN"/>
              </w:rPr>
              <w:t>项目业绩，每提供一份合同得</w:t>
            </w:r>
            <w:r>
              <w:rPr>
                <w:rFonts w:hint="eastAsia" w:ascii="宋体" w:hAnsi="宋体" w:cs="宋体"/>
                <w:color w:val="auto"/>
                <w:kern w:val="0"/>
                <w:szCs w:val="21"/>
                <w:highlight w:val="none"/>
                <w:lang w:val="en-US" w:eastAsia="zh-CN"/>
              </w:rPr>
              <w:t>3</w:t>
            </w:r>
            <w:r>
              <w:rPr>
                <w:rFonts w:hint="default" w:ascii="宋体" w:hAnsi="宋体" w:cs="宋体"/>
                <w:color w:val="auto"/>
                <w:kern w:val="0"/>
                <w:szCs w:val="21"/>
                <w:highlight w:val="none"/>
                <w:lang w:val="en-US" w:eastAsia="zh-CN"/>
              </w:rPr>
              <w:t>分，本项最高得</w:t>
            </w:r>
            <w:r>
              <w:rPr>
                <w:rFonts w:hint="eastAsia" w:ascii="宋体" w:hAnsi="宋体" w:cs="宋体"/>
                <w:color w:val="auto"/>
                <w:kern w:val="0"/>
                <w:szCs w:val="21"/>
                <w:highlight w:val="none"/>
                <w:lang w:val="en-US" w:eastAsia="zh-CN"/>
              </w:rPr>
              <w:t>15</w:t>
            </w:r>
            <w:r>
              <w:rPr>
                <w:rFonts w:hint="default" w:ascii="宋体" w:hAnsi="宋体" w:cs="宋体"/>
                <w:color w:val="auto"/>
                <w:kern w:val="0"/>
                <w:szCs w:val="21"/>
                <w:highlight w:val="none"/>
                <w:lang w:val="en-US" w:eastAsia="zh-CN"/>
              </w:rPr>
              <w:t>分。</w:t>
            </w:r>
          </w:p>
          <w:p>
            <w:pPr>
              <w:jc w:val="left"/>
              <w:rPr>
                <w:rFonts w:hint="eastAsia" w:ascii="宋体" w:hAnsi="宋体" w:eastAsia="宋体" w:cs="宋体"/>
                <w:color w:val="auto"/>
                <w:kern w:val="0"/>
                <w:sz w:val="21"/>
                <w:szCs w:val="21"/>
                <w:highlight w:val="none"/>
                <w:lang w:val="en-US" w:eastAsia="zh-CN" w:bidi="ar-SA"/>
              </w:rPr>
            </w:pPr>
            <w:r>
              <w:rPr>
                <w:rFonts w:hint="default" w:ascii="宋体" w:hAnsi="宋体" w:cs="宋体"/>
                <w:color w:val="auto"/>
                <w:kern w:val="0"/>
                <w:szCs w:val="21"/>
                <w:highlight w:val="none"/>
                <w:lang w:val="en-US" w:eastAsia="zh-CN"/>
              </w:rPr>
              <w:t>注：</w:t>
            </w:r>
            <w:r>
              <w:rPr>
                <w:rFonts w:hint="eastAsia" w:ascii="宋体" w:hAnsi="宋体" w:cs="宋体"/>
                <w:color w:val="auto"/>
                <w:kern w:val="0"/>
                <w:szCs w:val="21"/>
                <w:highlight w:val="none"/>
                <w:lang w:val="en-US" w:eastAsia="zh-CN"/>
              </w:rPr>
              <w:t>需</w:t>
            </w:r>
            <w:r>
              <w:rPr>
                <w:rFonts w:hint="default" w:ascii="宋体" w:hAnsi="宋体" w:cs="宋体"/>
                <w:color w:val="auto"/>
                <w:kern w:val="0"/>
                <w:szCs w:val="21"/>
                <w:highlight w:val="none"/>
                <w:lang w:val="en-US" w:eastAsia="zh-CN"/>
              </w:rPr>
              <w:t>提供合同</w:t>
            </w:r>
            <w:r>
              <w:rPr>
                <w:rFonts w:hint="eastAsia" w:ascii="宋体" w:hAnsi="宋体" w:cs="宋体"/>
                <w:color w:val="auto"/>
                <w:kern w:val="0"/>
                <w:szCs w:val="21"/>
                <w:highlight w:val="none"/>
                <w:lang w:val="en-US" w:eastAsia="zh-CN"/>
              </w:rPr>
              <w:t>关键页</w:t>
            </w:r>
            <w:r>
              <w:rPr>
                <w:rFonts w:hint="default" w:ascii="宋体" w:hAnsi="宋体" w:cs="宋体"/>
                <w:color w:val="auto"/>
                <w:kern w:val="0"/>
                <w:szCs w:val="21"/>
                <w:highlight w:val="none"/>
                <w:lang w:val="en-US" w:eastAsia="zh-CN"/>
              </w:rPr>
              <w:t>复印件（同时包括签约时间</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、项目名称</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服务内容页</w:t>
            </w:r>
            <w:r>
              <w:rPr>
                <w:rFonts w:hint="default" w:ascii="宋体" w:hAnsi="宋体" w:cs="宋体"/>
                <w:color w:val="auto"/>
                <w:kern w:val="0"/>
                <w:szCs w:val="21"/>
                <w:highlight w:val="none"/>
                <w:lang w:val="en-US" w:eastAsia="zh-CN"/>
              </w:rPr>
              <w:t>、双方盖章</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20" w:hRule="atLeast"/>
          <w:jc w:val="center"/>
        </w:trPr>
        <w:tc>
          <w:tcPr>
            <w:tcW w:w="851" w:type="dxa"/>
            <w:tcBorders>
              <w:top w:val="single" w:color="auto" w:sz="6" w:space="0"/>
              <w:left w:val="double" w:color="auto" w:sz="2" w:space="0"/>
              <w:bottom w:val="single" w:color="auto" w:sz="4"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项目理解</w:t>
            </w:r>
          </w:p>
        </w:tc>
        <w:tc>
          <w:tcPr>
            <w:tcW w:w="705"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4612" w:type="dxa"/>
            <w:tcBorders>
              <w:top w:val="single" w:color="auto" w:sz="6" w:space="0"/>
              <w:left w:val="single" w:color="auto" w:sz="6" w:space="0"/>
              <w:bottom w:val="single" w:color="auto" w:sz="4" w:space="0"/>
              <w:right w:val="single" w:color="auto" w:sz="6" w:space="0"/>
            </w:tcBorders>
            <w:vAlign w:val="center"/>
          </w:tcPr>
          <w:p>
            <w:pPr>
              <w:tabs>
                <w:tab w:val="left" w:pos="640"/>
              </w:tabs>
              <w:autoSpaceDN w:val="0"/>
              <w:spacing w:line="280" w:lineRule="exact"/>
              <w:jc w:val="left"/>
              <w:rPr>
                <w:rFonts w:hint="eastAsia"/>
                <w:lang w:eastAsia="zh-CN"/>
              </w:rPr>
            </w:pPr>
            <w:r>
              <w:rPr>
                <w:rFonts w:hint="eastAsia"/>
                <w:lang w:val="en-US" w:eastAsia="zh-CN"/>
              </w:rPr>
              <w:t>编制方案，阐述</w:t>
            </w:r>
            <w:r>
              <w:rPr>
                <w:rFonts w:hint="eastAsia"/>
              </w:rPr>
              <w:t>对项目的编制背景、政策背景和</w:t>
            </w:r>
            <w:r>
              <w:rPr>
                <w:rFonts w:hint="eastAsia"/>
                <w:lang w:val="en-US" w:eastAsia="zh-CN"/>
              </w:rPr>
              <w:t>数字化转型</w:t>
            </w:r>
            <w:r>
              <w:rPr>
                <w:rFonts w:hint="eastAsia"/>
              </w:rPr>
              <w:t>管理背景的理解程度，工作思路和方法、进度计划、成果提交和质量保证措施等综合评审</w:t>
            </w:r>
            <w:r>
              <w:rPr>
                <w:rFonts w:hint="eastAsia"/>
                <w:lang w:eastAsia="zh-CN"/>
              </w:rPr>
              <w:t>：</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w:t>
            </w:r>
            <w:r>
              <w:rPr>
                <w:rFonts w:hint="eastAsia" w:ascii="宋体" w:hAnsi="宋体" w:cs="宋体"/>
                <w:color w:val="auto"/>
                <w:kern w:val="0"/>
                <w:szCs w:val="21"/>
                <w:highlight w:val="none"/>
                <w:lang w:val="en-US" w:eastAsia="zh-CN"/>
              </w:rPr>
              <w:t>具备较强的可行性，得18</w:t>
            </w:r>
            <w:r>
              <w:rPr>
                <w:rFonts w:hint="eastAsia" w:ascii="宋体" w:hAnsi="宋体" w:cs="宋体"/>
                <w:color w:val="auto"/>
                <w:kern w:val="0"/>
                <w:szCs w:val="21"/>
                <w:highlight w:val="none"/>
              </w:rPr>
              <w:t>分；</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w:t>
            </w:r>
            <w:r>
              <w:rPr>
                <w:rFonts w:hint="eastAsia" w:ascii="宋体" w:hAnsi="宋体" w:cs="宋体"/>
                <w:color w:val="auto"/>
                <w:kern w:val="0"/>
                <w:szCs w:val="21"/>
                <w:highlight w:val="none"/>
                <w:lang w:val="en-US" w:eastAsia="zh-CN"/>
              </w:rPr>
              <w:t>要求，具备可行性的，</w:t>
            </w:r>
            <w:r>
              <w:rPr>
                <w:rFonts w:hint="eastAsia" w:ascii="宋体" w:hAnsi="宋体" w:cs="宋体"/>
                <w:color w:val="auto"/>
                <w:kern w:val="0"/>
                <w:szCs w:val="21"/>
                <w:highlight w:val="none"/>
                <w:lang w:eastAsia="zh-CN"/>
              </w:rPr>
              <w:t>得</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基本满足要求，但可行性一般的，得6</w:t>
            </w:r>
            <w:r>
              <w:rPr>
                <w:rFonts w:hint="eastAsia" w:ascii="宋体" w:hAnsi="宋体" w:cs="宋体"/>
                <w:color w:val="auto"/>
                <w:kern w:val="0"/>
                <w:szCs w:val="21"/>
                <w:highlight w:val="none"/>
              </w:rPr>
              <w:t>分；</w:t>
            </w:r>
          </w:p>
          <w:p>
            <w:pPr>
              <w:jc w:val="left"/>
              <w:rPr>
                <w:rFonts w:hint="eastAsia" w:ascii="宋体" w:hAnsi="宋体" w:eastAsia="宋体" w:cs="宋体"/>
                <w:szCs w:val="21"/>
                <w:lang w:val="en-US" w:eastAsia="zh-CN"/>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的，不得分</w:t>
            </w:r>
            <w:r>
              <w:rPr>
                <w:rFonts w:hint="eastAsia" w:ascii="宋体" w:hAnsi="宋体" w:cs="宋体"/>
                <w:color w:val="auto"/>
                <w:kern w:val="0"/>
                <w:szCs w:val="21"/>
                <w:highlight w:val="none"/>
                <w:lang w:eastAsia="zh-CN"/>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851" w:type="dxa"/>
            <w:tcBorders>
              <w:top w:val="single" w:color="auto" w:sz="4"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4" w:space="0"/>
              <w:left w:val="single" w:color="auto" w:sz="6" w:space="0"/>
              <w:right w:val="single" w:color="auto" w:sz="6" w:space="0"/>
            </w:tcBorders>
            <w:vAlign w:val="center"/>
          </w:tcPr>
          <w:p>
            <w:pPr>
              <w:snapToGrid w:val="0"/>
              <w:jc w:val="center"/>
              <w:rPr>
                <w:rFonts w:hint="eastAsia" w:ascii="宋体" w:hAnsi="宋体" w:cs="宋体"/>
                <w:szCs w:val="21"/>
                <w:lang w:val="en-US" w:eastAsia="zh-CN"/>
              </w:rPr>
            </w:pPr>
            <w:r>
              <w:rPr>
                <w:rFonts w:hint="eastAsia"/>
              </w:rPr>
              <w:t>企业荣誉</w:t>
            </w:r>
          </w:p>
        </w:tc>
        <w:tc>
          <w:tcPr>
            <w:tcW w:w="705" w:type="dxa"/>
            <w:tcBorders>
              <w:top w:val="single" w:color="auto" w:sz="4" w:space="0"/>
              <w:left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6</w:t>
            </w:r>
          </w:p>
        </w:tc>
        <w:tc>
          <w:tcPr>
            <w:tcW w:w="4612" w:type="dxa"/>
            <w:tcBorders>
              <w:top w:val="single" w:color="auto" w:sz="4" w:space="0"/>
              <w:left w:val="single" w:color="auto" w:sz="6" w:space="0"/>
              <w:bottom w:val="single" w:color="auto" w:sz="4" w:space="0"/>
              <w:right w:val="single" w:color="auto" w:sz="6" w:space="0"/>
            </w:tcBorders>
            <w:vAlign w:val="center"/>
          </w:tcPr>
          <w:p>
            <w:pPr>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投标人具有ISO9001质量管理体系认证证书、ISO20000信息技术服务管理体系认证证书、</w:t>
            </w:r>
            <w:r>
              <w:rPr>
                <w:rFonts w:hint="eastAsia" w:ascii="宋体" w:hAnsi="宋体" w:cs="宋体"/>
                <w:color w:val="auto"/>
                <w:kern w:val="0"/>
                <w:szCs w:val="21"/>
                <w:highlight w:val="none"/>
                <w:lang w:val="en-US" w:eastAsia="zh-CN"/>
              </w:rPr>
              <w:t>省级及以上咨询类成果奖项</w:t>
            </w:r>
            <w:r>
              <w:rPr>
                <w:rFonts w:hint="eastAsia" w:ascii="宋体" w:hAnsi="宋体" w:eastAsia="宋体" w:cs="宋体"/>
                <w:color w:val="auto"/>
                <w:kern w:val="0"/>
                <w:szCs w:val="21"/>
                <w:highlight w:val="none"/>
                <w:lang w:val="en-US" w:eastAsia="zh-CN"/>
              </w:rPr>
              <w:t>，有一个得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w:t>
            </w:r>
            <w:r>
              <w:rPr>
                <w:rFonts w:hint="eastAsia" w:ascii="宋体" w:hAnsi="宋体" w:cs="宋体"/>
                <w:color w:val="auto"/>
                <w:kern w:val="0"/>
                <w:szCs w:val="21"/>
                <w:highlight w:val="none"/>
                <w:lang w:val="en-US" w:eastAsia="zh-CN"/>
              </w:rPr>
              <w:t>。</w:t>
            </w:r>
          </w:p>
          <w:p>
            <w:pPr>
              <w:pStyle w:val="2"/>
              <w:rPr>
                <w:rFonts w:hint="eastAsia"/>
              </w:rPr>
            </w:pPr>
            <w:r>
              <w:rPr>
                <w:rFonts w:hint="eastAsia" w:ascii="宋体" w:hAnsi="宋体" w:cs="宋体"/>
                <w:szCs w:val="21"/>
                <w:lang w:val="en-US" w:eastAsia="zh-CN"/>
              </w:rPr>
              <w:t>注：</w:t>
            </w:r>
            <w:r>
              <w:rPr>
                <w:rFonts w:hint="eastAsia" w:ascii="宋体" w:hAnsi="宋体" w:cs="宋体"/>
                <w:szCs w:val="21"/>
              </w:rPr>
              <w:t>须提</w:t>
            </w:r>
            <w:r>
              <w:rPr>
                <w:rFonts w:hint="eastAsia" w:ascii="宋体" w:hAnsi="宋体" w:cs="宋体"/>
                <w:szCs w:val="21"/>
                <w:lang w:val="en-US" w:eastAsia="zh-CN"/>
              </w:rPr>
              <w:t>供</w:t>
            </w:r>
            <w:r>
              <w:rPr>
                <w:rFonts w:hint="eastAsia" w:ascii="宋体" w:hAnsi="宋体" w:cs="宋体"/>
                <w:kern w:val="2"/>
                <w:sz w:val="21"/>
                <w:szCs w:val="21"/>
                <w:lang w:val="en-US" w:eastAsia="zh-CN" w:bidi="ar-SA"/>
              </w:rPr>
              <w:t>复印件（加盖公章）</w:t>
            </w:r>
            <w:r>
              <w:rPr>
                <w:rFonts w:hint="eastAsia" w:ascii="宋体" w:hAnsi="宋体" w:cs="宋体"/>
                <w:szCs w:val="21"/>
              </w:rPr>
              <w:t>。</w:t>
            </w:r>
          </w:p>
        </w:tc>
        <w:tc>
          <w:tcPr>
            <w:tcW w:w="983" w:type="dxa"/>
            <w:tcBorders>
              <w:top w:val="single" w:color="auto" w:sz="4"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4"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4"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4"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60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eastAsia="宋体" w:cs="宋体"/>
                <w:kern w:val="2"/>
                <w:sz w:val="21"/>
                <w:szCs w:val="21"/>
                <w:lang w:val="en-US" w:eastAsia="zh-CN" w:bidi="ar-SA"/>
              </w:rPr>
            </w:pPr>
          </w:p>
        </w:tc>
        <w:tc>
          <w:tcPr>
            <w:tcW w:w="987" w:type="dxa"/>
            <w:tcBorders>
              <w:top w:val="single" w:color="auto" w:sz="6" w:space="0"/>
              <w:left w:val="single" w:color="auto" w:sz="6" w:space="0"/>
              <w:bottom w:val="double" w:color="auto" w:sz="2" w:space="0"/>
              <w:right w:val="single" w:color="auto" w:sz="6" w:space="0"/>
            </w:tcBorders>
            <w:vAlign w:val="top"/>
          </w:tcPr>
          <w:p>
            <w:pPr>
              <w:snapToGrid w:val="0"/>
              <w:jc w:val="center"/>
              <w:rPr>
                <w:rFonts w:ascii="宋体" w:hAnsi="宋体" w:eastAsia="宋体" w:cs="宋体"/>
                <w:kern w:val="2"/>
                <w:sz w:val="21"/>
                <w:szCs w:val="21"/>
                <w:lang w:val="en-US" w:eastAsia="zh-CN" w:bidi="ar-SA"/>
              </w:rPr>
            </w:pPr>
          </w:p>
        </w:tc>
        <w:tc>
          <w:tcPr>
            <w:tcW w:w="1075" w:type="dxa"/>
            <w:tcBorders>
              <w:top w:val="single" w:color="auto" w:sz="6" w:space="0"/>
              <w:left w:val="single" w:color="auto" w:sz="6" w:space="0"/>
              <w:bottom w:val="double" w:color="auto" w:sz="2" w:space="0"/>
              <w:right w:val="single" w:color="auto" w:sz="4" w:space="0"/>
            </w:tcBorders>
            <w:vAlign w:val="top"/>
          </w:tcPr>
          <w:p>
            <w:pPr>
              <w:snapToGrid w:val="0"/>
              <w:jc w:val="center"/>
              <w:rPr>
                <w:rFonts w:ascii="宋体" w:hAnsi="宋体" w:eastAsia="宋体" w:cs="宋体"/>
                <w:kern w:val="2"/>
                <w:sz w:val="21"/>
                <w:szCs w:val="21"/>
                <w:lang w:val="en-US" w:eastAsia="zh-CN" w:bidi="ar-SA"/>
              </w:rPr>
            </w:pPr>
          </w:p>
        </w:tc>
        <w:tc>
          <w:tcPr>
            <w:tcW w:w="963" w:type="dxa"/>
            <w:tcBorders>
              <w:top w:val="single" w:color="auto" w:sz="6" w:space="0"/>
              <w:left w:val="nil"/>
              <w:bottom w:val="double" w:color="auto" w:sz="2" w:space="0"/>
              <w:right w:val="double" w:color="auto" w:sz="2" w:space="0"/>
            </w:tcBorders>
            <w:vAlign w:val="top"/>
          </w:tcPr>
          <w:p>
            <w:pPr>
              <w:snapToGrid w:val="0"/>
              <w:jc w:val="center"/>
              <w:rPr>
                <w:rFonts w:ascii="宋体" w:hAnsi="宋体" w:eastAsia="宋体" w:cs="宋体"/>
                <w:kern w:val="2"/>
                <w:sz w:val="21"/>
                <w:szCs w:val="21"/>
                <w:lang w:val="en-US" w:eastAsia="zh-CN" w:bidi="ar-SA"/>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rPr>
        <w:t>九、技术商务评分汇总表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技术商务评分汇总表</w:t>
      </w:r>
    </w:p>
    <w:p>
      <w:pPr>
        <w:rPr>
          <w:rFonts w:ascii="宋体" w:hAnsi="宋体" w:cs="宋体"/>
          <w:sz w:val="24"/>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2489"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282" w:type="dxa"/>
            <w:vAlign w:val="center"/>
          </w:tcPr>
          <w:p>
            <w:pPr>
              <w:jc w:val="center"/>
              <w:rPr>
                <w:rFonts w:ascii="宋体" w:hAnsi="宋体" w:cs="宋体"/>
                <w:sz w:val="24"/>
              </w:rPr>
            </w:pPr>
            <w:r>
              <w:rPr>
                <w:rFonts w:hint="eastAsia" w:ascii="宋体" w:hAnsi="宋体" w:cs="宋体"/>
                <w:sz w:val="24"/>
              </w:rPr>
              <w:t>评委1评分</w:t>
            </w:r>
          </w:p>
        </w:tc>
        <w:tc>
          <w:tcPr>
            <w:tcW w:w="1227" w:type="dxa"/>
            <w:vAlign w:val="center"/>
          </w:tcPr>
          <w:p>
            <w:pPr>
              <w:jc w:val="center"/>
              <w:rPr>
                <w:rFonts w:ascii="宋体" w:hAnsi="宋体" w:cs="宋体"/>
                <w:sz w:val="24"/>
              </w:rPr>
            </w:pPr>
            <w:r>
              <w:rPr>
                <w:rFonts w:hint="eastAsia" w:ascii="宋体" w:hAnsi="宋体" w:cs="宋体"/>
                <w:sz w:val="24"/>
              </w:rPr>
              <w:t>评委2评分</w:t>
            </w:r>
          </w:p>
        </w:tc>
        <w:tc>
          <w:tcPr>
            <w:tcW w:w="1268" w:type="dxa"/>
            <w:vAlign w:val="center"/>
          </w:tcPr>
          <w:p>
            <w:pPr>
              <w:jc w:val="center"/>
              <w:rPr>
                <w:rFonts w:ascii="宋体" w:hAnsi="宋体" w:cs="宋体"/>
                <w:sz w:val="24"/>
              </w:rPr>
            </w:pPr>
            <w:r>
              <w:rPr>
                <w:rFonts w:hint="eastAsia" w:ascii="宋体" w:hAnsi="宋体" w:cs="宋体"/>
                <w:sz w:val="24"/>
              </w:rPr>
              <w:t>评委3评分</w:t>
            </w:r>
          </w:p>
        </w:tc>
        <w:tc>
          <w:tcPr>
            <w:tcW w:w="1214" w:type="dxa"/>
            <w:vAlign w:val="center"/>
          </w:tcPr>
          <w:p>
            <w:pPr>
              <w:jc w:val="center"/>
              <w:rPr>
                <w:rFonts w:ascii="宋体" w:hAnsi="宋体" w:cs="宋体"/>
                <w:sz w:val="24"/>
              </w:rPr>
            </w:pPr>
            <w:r>
              <w:rPr>
                <w:rFonts w:hint="eastAsia" w:ascii="宋体" w:hAnsi="宋体" w:cs="宋体"/>
                <w:sz w:val="24"/>
              </w:rPr>
              <w:t>评委4评分</w:t>
            </w:r>
          </w:p>
        </w:tc>
        <w:tc>
          <w:tcPr>
            <w:tcW w:w="1198" w:type="dxa"/>
            <w:vAlign w:val="center"/>
          </w:tcPr>
          <w:p>
            <w:pPr>
              <w:jc w:val="center"/>
              <w:rPr>
                <w:rFonts w:ascii="宋体" w:hAnsi="宋体" w:cs="宋体"/>
                <w:szCs w:val="21"/>
              </w:rPr>
            </w:pPr>
            <w:r>
              <w:rPr>
                <w:rFonts w:hint="eastAsia" w:ascii="宋体" w:hAnsi="宋体" w:cs="宋体"/>
                <w:sz w:val="24"/>
              </w:rPr>
              <w:t>评委5评分</w:t>
            </w:r>
          </w:p>
        </w:tc>
        <w:tc>
          <w:tcPr>
            <w:tcW w:w="1118" w:type="dxa"/>
            <w:vAlign w:val="center"/>
          </w:tcPr>
          <w:p>
            <w:pPr>
              <w:jc w:val="center"/>
              <w:rPr>
                <w:rFonts w:ascii="宋体" w:hAnsi="宋体" w:cs="宋体"/>
                <w:sz w:val="24"/>
              </w:rPr>
            </w:pPr>
            <w:r>
              <w:rPr>
                <w:rFonts w:hint="eastAsia" w:ascii="宋体" w:hAnsi="宋体" w:cs="宋体"/>
                <w:szCs w:val="21"/>
              </w:rPr>
              <w:t>平均得分</w:t>
            </w:r>
          </w:p>
        </w:tc>
        <w:tc>
          <w:tcPr>
            <w:tcW w:w="941"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2489" w:type="dxa"/>
            <w:vAlign w:val="center"/>
          </w:tcPr>
          <w:p>
            <w:pPr>
              <w:jc w:val="center"/>
              <w:rPr>
                <w:rFonts w:ascii="宋体" w:hAnsi="宋体" w:cs="宋体"/>
                <w:sz w:val="24"/>
              </w:rPr>
            </w:pPr>
            <w:r>
              <w:rPr>
                <w:rFonts w:hint="eastAsia" w:ascii="宋体" w:hAnsi="宋体" w:cs="宋体"/>
                <w:sz w:val="24"/>
              </w:rPr>
              <w:t>供应商A</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2489" w:type="dxa"/>
            <w:vAlign w:val="center"/>
          </w:tcPr>
          <w:p>
            <w:pPr>
              <w:jc w:val="center"/>
              <w:rPr>
                <w:rFonts w:ascii="宋体" w:hAnsi="宋体" w:cs="宋体"/>
                <w:sz w:val="24"/>
              </w:rPr>
            </w:pPr>
            <w:r>
              <w:rPr>
                <w:rFonts w:hint="eastAsia" w:ascii="宋体" w:hAnsi="宋体" w:cs="宋体"/>
                <w:sz w:val="24"/>
              </w:rPr>
              <w:t>供应商B</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2489" w:type="dxa"/>
            <w:vAlign w:val="center"/>
          </w:tcPr>
          <w:p>
            <w:pPr>
              <w:jc w:val="center"/>
              <w:rPr>
                <w:rFonts w:ascii="宋体" w:hAnsi="宋体" w:cs="宋体"/>
                <w:sz w:val="24"/>
              </w:rPr>
            </w:pPr>
            <w:r>
              <w:rPr>
                <w:rFonts w:hint="eastAsia" w:ascii="宋体" w:hAnsi="宋体" w:cs="宋体"/>
                <w:sz w:val="24"/>
              </w:rPr>
              <w:t>供应商C</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2489" w:type="dxa"/>
            <w:vAlign w:val="center"/>
          </w:tcPr>
          <w:p>
            <w:pPr>
              <w:jc w:val="center"/>
              <w:rPr>
                <w:rFonts w:ascii="宋体" w:hAnsi="宋体" w:cs="宋体"/>
                <w:sz w:val="24"/>
              </w:rPr>
            </w:pPr>
            <w:r>
              <w:rPr>
                <w:rFonts w:hint="eastAsia" w:ascii="宋体" w:hAnsi="宋体" w:cs="宋体"/>
                <w:sz w:val="24"/>
              </w:rPr>
              <w:t>……</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pPr>
      <w:r>
        <w:rPr>
          <w:rFonts w:hint="eastAsia" w:ascii="宋体" w:hAnsi="宋体" w:cs="宋体"/>
          <w:bCs/>
          <w:sz w:val="24"/>
        </w:rPr>
        <w:t>评审日期：</w:t>
      </w:r>
    </w:p>
    <w:p>
      <w:pPr>
        <w:rPr>
          <w:rFonts w:ascii="宋体" w:hAnsi="宋体" w:cs="宋体"/>
          <w:sz w:val="24"/>
        </w:rPr>
      </w:pPr>
      <w:r>
        <w:rPr>
          <w:rFonts w:hint="eastAsia" w:ascii="宋体" w:hAnsi="宋体" w:cs="宋体"/>
          <w:sz w:val="24"/>
        </w:rPr>
        <w:br w:type="page"/>
      </w:r>
      <w:r>
        <w:rPr>
          <w:rFonts w:hint="eastAsia" w:ascii="宋体" w:hAnsi="宋体" w:cs="宋体"/>
          <w:sz w:val="24"/>
        </w:rPr>
        <w:t xml:space="preserve">    十、价格评分汇总表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320" w:type="dxa"/>
            <w:vAlign w:val="center"/>
          </w:tcPr>
          <w:p>
            <w:pPr>
              <w:jc w:val="center"/>
              <w:rPr>
                <w:rFonts w:ascii="宋体" w:hAnsi="宋体" w:cs="宋体"/>
                <w:sz w:val="24"/>
              </w:rPr>
            </w:pPr>
            <w:r>
              <w:rPr>
                <w:rFonts w:hint="eastAsia" w:ascii="宋体" w:hAnsi="宋体" w:cs="宋体"/>
                <w:szCs w:val="21"/>
              </w:rPr>
              <w:t>单价报价（元）</w:t>
            </w:r>
          </w:p>
        </w:tc>
        <w:tc>
          <w:tcPr>
            <w:tcW w:w="1110" w:type="dxa"/>
            <w:vAlign w:val="center"/>
          </w:tcPr>
          <w:p>
            <w:pPr>
              <w:jc w:val="center"/>
              <w:rPr>
                <w:rFonts w:ascii="宋体" w:hAnsi="宋体" w:cs="宋体"/>
                <w:sz w:val="24"/>
              </w:rPr>
            </w:pPr>
            <w:r>
              <w:rPr>
                <w:rFonts w:hint="eastAsia" w:ascii="宋体" w:hAnsi="宋体" w:cs="宋体"/>
                <w:szCs w:val="21"/>
              </w:rPr>
              <w:t>基准价格（元）</w:t>
            </w:r>
          </w:p>
        </w:tc>
        <w:tc>
          <w:tcPr>
            <w:tcW w:w="1297" w:type="dxa"/>
            <w:vAlign w:val="center"/>
          </w:tcPr>
          <w:p>
            <w:pPr>
              <w:jc w:val="center"/>
              <w:rPr>
                <w:rFonts w:ascii="宋体" w:hAnsi="宋体" w:cs="宋体"/>
                <w:sz w:val="24"/>
              </w:rPr>
            </w:pPr>
            <w:r>
              <w:rPr>
                <w:rFonts w:hint="eastAsia" w:ascii="宋体" w:hAnsi="宋体" w:cs="宋体"/>
                <w:szCs w:val="21"/>
              </w:rPr>
              <w:t>得分</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eastAsia" w:ascii="宋体" w:hAnsi="宋体" w:cs="宋体"/>
                <w:sz w:val="24"/>
              </w:rPr>
              <w:t>供应商A</w:t>
            </w:r>
          </w:p>
        </w:tc>
        <w:tc>
          <w:tcPr>
            <w:tcW w:w="1320" w:type="dxa"/>
            <w:vAlign w:val="center"/>
          </w:tcPr>
          <w:p>
            <w:pPr>
              <w:jc w:val="center"/>
              <w:rPr>
                <w:rFonts w:ascii="宋体" w:hAnsi="宋体" w:cs="宋体"/>
                <w:sz w:val="24"/>
              </w:rPr>
            </w:pPr>
          </w:p>
        </w:tc>
        <w:tc>
          <w:tcPr>
            <w:tcW w:w="1110" w:type="dxa"/>
            <w:vMerge w:val="restart"/>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eastAsia" w:ascii="宋体" w:hAnsi="宋体" w:cs="宋体"/>
                <w:sz w:val="24"/>
              </w:rPr>
              <w:t>供应商C</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31"/>
        <w:ind w:firstLine="210"/>
      </w:pPr>
    </w:p>
    <w:p/>
    <w:p>
      <w:pPr>
        <w:pStyle w:val="44"/>
      </w:pPr>
    </w:p>
    <w:p>
      <w:pPr>
        <w:pStyle w:val="44"/>
      </w:pPr>
    </w:p>
    <w:p>
      <w:pPr>
        <w:pStyle w:val="44"/>
      </w:pPr>
    </w:p>
    <w:p>
      <w:pPr>
        <w:pStyle w:val="44"/>
      </w:pPr>
    </w:p>
    <w:p>
      <w:p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rPr>
      </w:pPr>
      <w:r>
        <w:rPr>
          <w:rFonts w:hint="eastAsia"/>
        </w:rPr>
        <w:t>十一</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序号</w:t>
            </w:r>
          </w:p>
        </w:tc>
        <w:tc>
          <w:tcPr>
            <w:tcW w:w="3067"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00" w:type="dxa"/>
            <w:vAlign w:val="center"/>
          </w:tcPr>
          <w:p>
            <w:pPr>
              <w:jc w:val="center"/>
              <w:rPr>
                <w:rFonts w:ascii="宋体" w:hAnsi="宋体" w:cs="宋体"/>
                <w:sz w:val="24"/>
              </w:rPr>
            </w:pPr>
            <w:r>
              <w:rPr>
                <w:rFonts w:hint="eastAsia" w:ascii="宋体" w:hAnsi="宋体" w:cs="宋体"/>
                <w:sz w:val="24"/>
              </w:rPr>
              <w:t>资格评审情况</w:t>
            </w:r>
          </w:p>
        </w:tc>
        <w:tc>
          <w:tcPr>
            <w:tcW w:w="1095" w:type="dxa"/>
            <w:vAlign w:val="center"/>
          </w:tcPr>
          <w:p>
            <w:pPr>
              <w:jc w:val="center"/>
              <w:rPr>
                <w:rFonts w:ascii="宋体" w:hAnsi="宋体" w:cs="宋体"/>
                <w:szCs w:val="21"/>
              </w:rPr>
            </w:pPr>
            <w:r>
              <w:rPr>
                <w:rFonts w:hint="eastAsia" w:ascii="宋体" w:hAnsi="宋体" w:cs="宋体"/>
                <w:szCs w:val="21"/>
              </w:rPr>
              <w:t>单价报价（元）</w:t>
            </w:r>
          </w:p>
        </w:tc>
        <w:tc>
          <w:tcPr>
            <w:tcW w:w="1105" w:type="dxa"/>
            <w:vAlign w:val="center"/>
          </w:tcPr>
          <w:p>
            <w:pPr>
              <w:jc w:val="center"/>
              <w:rPr>
                <w:rFonts w:ascii="宋体" w:hAnsi="宋体" w:cs="宋体"/>
                <w:szCs w:val="21"/>
              </w:rPr>
            </w:pPr>
            <w:r>
              <w:rPr>
                <w:rFonts w:hint="eastAsia" w:ascii="宋体" w:hAnsi="宋体" w:cs="宋体"/>
                <w:szCs w:val="21"/>
              </w:rPr>
              <w:t>价格得分</w:t>
            </w:r>
          </w:p>
        </w:tc>
        <w:tc>
          <w:tcPr>
            <w:tcW w:w="1105" w:type="dxa"/>
            <w:vAlign w:val="center"/>
          </w:tcPr>
          <w:p>
            <w:pPr>
              <w:jc w:val="center"/>
              <w:rPr>
                <w:rFonts w:ascii="宋体" w:hAnsi="宋体" w:cs="宋体"/>
                <w:szCs w:val="21"/>
              </w:rPr>
            </w:pPr>
            <w:r>
              <w:rPr>
                <w:rFonts w:hint="eastAsia" w:ascii="宋体" w:hAnsi="宋体" w:cs="宋体"/>
                <w:szCs w:val="21"/>
              </w:rPr>
              <w:t>技术商务平均得分</w:t>
            </w:r>
          </w:p>
        </w:tc>
        <w:tc>
          <w:tcPr>
            <w:tcW w:w="1105" w:type="dxa"/>
            <w:vAlign w:val="center"/>
          </w:tcPr>
          <w:p>
            <w:pPr>
              <w:jc w:val="center"/>
              <w:rPr>
                <w:rFonts w:ascii="宋体" w:hAnsi="宋体" w:cs="宋体"/>
                <w:sz w:val="24"/>
              </w:rPr>
            </w:pPr>
            <w:r>
              <w:rPr>
                <w:rFonts w:hint="eastAsia" w:ascii="宋体" w:hAnsi="宋体" w:cs="宋体"/>
                <w:szCs w:val="21"/>
              </w:rPr>
              <w:t>总得分</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1</w:t>
            </w:r>
          </w:p>
        </w:tc>
        <w:tc>
          <w:tcPr>
            <w:tcW w:w="3067" w:type="dxa"/>
            <w:vAlign w:val="center"/>
          </w:tcPr>
          <w:p>
            <w:pPr>
              <w:jc w:val="center"/>
              <w:rPr>
                <w:rFonts w:ascii="宋体" w:hAnsi="宋体" w:cs="宋体"/>
                <w:sz w:val="24"/>
              </w:rPr>
            </w:pPr>
            <w:r>
              <w:rPr>
                <w:rFonts w:hint="eastAsia" w:ascii="宋体" w:hAnsi="宋体" w:cs="宋体"/>
                <w:sz w:val="24"/>
              </w:rPr>
              <w:t>供应商A</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Cs w:val="21"/>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2</w:t>
            </w:r>
          </w:p>
        </w:tc>
        <w:tc>
          <w:tcPr>
            <w:tcW w:w="3067" w:type="dxa"/>
            <w:vAlign w:val="center"/>
          </w:tcPr>
          <w:p>
            <w:pPr>
              <w:jc w:val="center"/>
              <w:rPr>
                <w:rFonts w:ascii="宋体" w:hAnsi="宋体" w:cs="宋体"/>
                <w:sz w:val="24"/>
              </w:rPr>
            </w:pPr>
            <w:r>
              <w:rPr>
                <w:rFonts w:hint="eastAsia" w:ascii="宋体" w:hAnsi="宋体" w:cs="宋体"/>
                <w:sz w:val="24"/>
              </w:rPr>
              <w:t>供应商B</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3</w:t>
            </w:r>
          </w:p>
        </w:tc>
        <w:tc>
          <w:tcPr>
            <w:tcW w:w="3067" w:type="dxa"/>
            <w:vAlign w:val="center"/>
          </w:tcPr>
          <w:p>
            <w:pPr>
              <w:jc w:val="center"/>
              <w:rPr>
                <w:rFonts w:ascii="宋体" w:hAnsi="宋体" w:cs="宋体"/>
                <w:sz w:val="24"/>
              </w:rPr>
            </w:pPr>
            <w:r>
              <w:rPr>
                <w:rFonts w:hint="eastAsia" w:ascii="宋体" w:hAnsi="宋体" w:cs="宋体"/>
                <w:sz w:val="24"/>
              </w:rPr>
              <w:t>供应商C</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p>
        </w:tc>
        <w:tc>
          <w:tcPr>
            <w:tcW w:w="3067" w:type="dxa"/>
            <w:vAlign w:val="center"/>
          </w:tcPr>
          <w:p>
            <w:pPr>
              <w:jc w:val="center"/>
              <w:rPr>
                <w:rFonts w:ascii="宋体" w:hAnsi="宋体" w:cs="宋体"/>
                <w:sz w:val="24"/>
              </w:rPr>
            </w:pPr>
            <w:r>
              <w:rPr>
                <w:rFonts w:hint="eastAsia" w:ascii="宋体" w:hAnsi="宋体" w:cs="宋体"/>
                <w:sz w:val="24"/>
              </w:rPr>
              <w:t>……</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ind w:firstLine="480" w:firstLineChars="200"/>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sz w:val="24"/>
        </w:rPr>
        <w:t xml:space="preserve">成员签名：                  </w:t>
      </w:r>
    </w:p>
    <w:p>
      <w:pPr>
        <w:spacing w:line="560" w:lineRule="exact"/>
        <w:rPr>
          <w:rFonts w:ascii="宋体" w:hAnsi="宋体" w:cs="宋体"/>
          <w:sz w:val="24"/>
        </w:rPr>
      </w:pPr>
      <w:r>
        <w:rPr>
          <w:rFonts w:hint="eastAsia" w:ascii="宋体" w:hAnsi="宋体" w:cs="宋体"/>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96"/>
          <w:szCs w:val="96"/>
        </w:rPr>
      </w:pPr>
    </w:p>
    <w:p>
      <w:pPr>
        <w:pStyle w:val="16"/>
        <w:jc w:val="center"/>
        <w:rPr>
          <w:rFonts w:ascii="Times New Roman" w:hAnsi="Times New Roman"/>
          <w:b/>
          <w:sz w:val="96"/>
          <w:szCs w:val="96"/>
        </w:rPr>
      </w:pPr>
    </w:p>
    <w:p>
      <w:pPr>
        <w:pStyle w:val="16"/>
        <w:jc w:val="center"/>
        <w:rPr>
          <w:rFonts w:ascii="Times New Roman" w:hAnsi="Times New Roman"/>
          <w:b/>
          <w:sz w:val="44"/>
          <w:szCs w:val="44"/>
        </w:rPr>
      </w:pPr>
      <w:r>
        <w:rPr>
          <w:rFonts w:hint="eastAsia" w:ascii="Times New Roman" w:hAnsi="Times New Roman"/>
          <w:b/>
          <w:sz w:val="96"/>
          <w:szCs w:val="96"/>
        </w:rPr>
        <w:t>参 评 文 件</w:t>
      </w:r>
    </w:p>
    <w:p>
      <w:pPr>
        <w:pStyle w:val="16"/>
        <w:spacing w:line="560" w:lineRule="exact"/>
        <w:jc w:val="center"/>
        <w:rPr>
          <w:rFonts w:ascii="Times New Roman" w:hAnsi="Times New Roman"/>
          <w:b/>
          <w:sz w:val="32"/>
          <w:szCs w:val="32"/>
        </w:rPr>
      </w:pPr>
    </w:p>
    <w:p>
      <w:pPr>
        <w:pStyle w:val="16"/>
        <w:spacing w:line="560" w:lineRule="exact"/>
        <w:jc w:val="center"/>
        <w:rPr>
          <w:rFonts w:ascii="Times New Roman" w:hAnsi="Times New Roman"/>
          <w:b/>
          <w:sz w:val="32"/>
          <w:szCs w:val="32"/>
        </w:rPr>
      </w:pPr>
    </w:p>
    <w:p>
      <w:pPr>
        <w:pStyle w:val="16"/>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6"/>
        <w:spacing w:line="560" w:lineRule="exact"/>
        <w:ind w:firstLine="1606" w:firstLineChars="500"/>
        <w:rPr>
          <w:rFonts w:hint="eastAsia" w:ascii="Times New Roman" w:hAnsi="Times New Roman" w:eastAsia="宋体"/>
          <w:b/>
          <w:sz w:val="32"/>
          <w:szCs w:val="32"/>
          <w:lang w:eastAsia="zh-CN"/>
        </w:rPr>
      </w:pPr>
      <w:r>
        <w:rPr>
          <w:rFonts w:hint="eastAsia" w:ascii="Times New Roman" w:hAnsi="Times New Roman"/>
          <w:b/>
          <w:sz w:val="32"/>
          <w:szCs w:val="32"/>
        </w:rPr>
        <w:t>项目名称：</w:t>
      </w:r>
      <w:r>
        <w:rPr>
          <w:rFonts w:hint="eastAsia" w:ascii="Times New Roman" w:hAnsi="Times New Roman"/>
          <w:b/>
          <w:sz w:val="32"/>
          <w:szCs w:val="32"/>
          <w:lang w:val="en-US" w:eastAsia="zh-CN"/>
        </w:rPr>
        <w:t>中山市城市公交营运数字化转型升级策略</w:t>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研究咨询服务</w:t>
      </w:r>
      <w:r>
        <w:rPr>
          <w:rFonts w:hint="eastAsia" w:ascii="Times New Roman" w:hAnsi="Times New Roman"/>
          <w:b/>
          <w:sz w:val="32"/>
          <w:szCs w:val="32"/>
        </w:rPr>
        <w:t>采购项目</w:t>
      </w:r>
      <w:r>
        <w:rPr>
          <w:rFonts w:hint="eastAsia" w:ascii="Times New Roman" w:hAnsi="Times New Roman"/>
          <w:b/>
          <w:sz w:val="32"/>
          <w:szCs w:val="32"/>
          <w:lang w:eastAsia="zh-CN"/>
        </w:rPr>
        <w:t>（</w:t>
      </w:r>
      <w:r>
        <w:rPr>
          <w:rFonts w:hint="eastAsia" w:ascii="Times New Roman" w:hAnsi="Times New Roman"/>
          <w:b/>
          <w:sz w:val="32"/>
          <w:szCs w:val="32"/>
          <w:lang w:val="en-US" w:eastAsia="zh-CN"/>
        </w:rPr>
        <w:t>第三次</w:t>
      </w:r>
      <w:r>
        <w:rPr>
          <w:rFonts w:hint="eastAsia" w:ascii="Times New Roman" w:hAnsi="Times New Roman"/>
          <w:b/>
          <w:sz w:val="32"/>
          <w:szCs w:val="32"/>
          <w:lang w:eastAsia="zh-CN"/>
        </w:rPr>
        <w:t>）</w:t>
      </w:r>
    </w:p>
    <w:p>
      <w:pPr>
        <w:pStyle w:val="16"/>
        <w:spacing w:line="560" w:lineRule="exact"/>
        <w:ind w:firstLine="3213" w:firstLineChars="1000"/>
        <w:rPr>
          <w:rFonts w:hint="eastAsia" w:ascii="Times New Roman" w:hAnsi="Times New Roman" w:eastAsia="宋体"/>
          <w:b/>
          <w:sz w:val="32"/>
          <w:szCs w:val="32"/>
        </w:rPr>
      </w:pPr>
    </w:p>
    <w:p>
      <w:pPr>
        <w:pStyle w:val="16"/>
        <w:spacing w:line="560" w:lineRule="exact"/>
        <w:ind w:firstLine="1606" w:firstLineChars="500"/>
        <w:rPr>
          <w:rFonts w:ascii="Times New Roman" w:hAnsi="Times New Roman"/>
          <w:b/>
          <w:sz w:val="32"/>
          <w:szCs w:val="32"/>
        </w:rPr>
      </w:pPr>
      <w:r>
        <w:rPr>
          <w:rFonts w:hint="eastAsia" w:ascii="Times New Roman" w:hAnsi="Times New Roman"/>
          <w:b/>
          <w:sz w:val="32"/>
          <w:szCs w:val="32"/>
        </w:rPr>
        <w:t xml:space="preserve">参评供应商名称（盖章）：     </w:t>
      </w:r>
    </w:p>
    <w:p>
      <w:pPr>
        <w:pStyle w:val="16"/>
        <w:spacing w:line="560" w:lineRule="exact"/>
        <w:ind w:firstLine="1754" w:firstLineChars="546"/>
        <w:rPr>
          <w:rFonts w:ascii="Times New Roman" w:hAnsi="Times New Roman"/>
          <w:b/>
          <w:sz w:val="32"/>
          <w:szCs w:val="32"/>
        </w:rPr>
      </w:pPr>
    </w:p>
    <w:p>
      <w:pPr>
        <w:pStyle w:val="16"/>
        <w:spacing w:line="560" w:lineRule="exact"/>
        <w:ind w:firstLine="1606" w:firstLineChars="500"/>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10"/>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left="0" w:leftChars="0" w:firstLine="480" w:firstLineChars="200"/>
        <w:rPr>
          <w:rFonts w:hint="eastAsia" w:ascii="宋体" w:hAnsi="宋体" w:cs="宋体"/>
          <w:bCs/>
          <w:sz w:val="24"/>
        </w:rPr>
      </w:pPr>
      <w:r>
        <w:rPr>
          <w:rFonts w:hint="eastAsia" w:ascii="宋体" w:hAnsi="宋体" w:cs="宋体"/>
          <w:bCs/>
          <w:sz w:val="24"/>
        </w:rPr>
        <w:t>我方确认收到《</w:t>
      </w:r>
      <w:r>
        <w:rPr>
          <w:rFonts w:hint="eastAsia" w:ascii="宋体" w:hAnsi="宋体" w:cs="宋体"/>
          <w:bCs/>
          <w:sz w:val="24"/>
          <w:lang w:val="en-US" w:eastAsia="zh-CN"/>
        </w:rPr>
        <w:t>中山市城市公交营运数字化转型升级策略研究咨询服务采购项目（第三次）</w:t>
      </w:r>
      <w:r>
        <w:rPr>
          <w:rFonts w:hint="eastAsia" w:ascii="宋体" w:hAnsi="宋体" w:cs="宋体"/>
          <w:bCs/>
          <w:sz w:val="24"/>
        </w:rPr>
        <w:t>》采购文件，经详细研究，决定参加该项目评选，并作出如下承诺：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w:t>
      </w:r>
      <w:r>
        <w:rPr>
          <w:rFonts w:hint="eastAsia" w:ascii="宋体" w:hAnsi="宋体" w:cs="宋体"/>
          <w:bCs/>
          <w:sz w:val="24"/>
          <w:lang w:val="en-US" w:eastAsia="zh-CN"/>
        </w:rPr>
        <w:t>服务内容</w:t>
      </w:r>
      <w:r>
        <w:rPr>
          <w:rFonts w:hint="eastAsia" w:ascii="宋体" w:hAnsi="宋体" w:cs="宋体"/>
          <w:bCs/>
          <w:sz w:val="24"/>
        </w:rPr>
        <w:t>、</w:t>
      </w:r>
      <w:r>
        <w:rPr>
          <w:rFonts w:hint="eastAsia" w:ascii="宋体" w:hAnsi="宋体" w:cs="宋体"/>
          <w:bCs/>
          <w:sz w:val="24"/>
          <w:lang w:val="en-US" w:eastAsia="zh-CN"/>
        </w:rPr>
        <w:t>结算方式、</w:t>
      </w:r>
      <w:r>
        <w:rPr>
          <w:rFonts w:hint="eastAsia" w:ascii="宋体" w:hAnsi="宋体" w:cs="宋体"/>
          <w:bCs/>
          <w:sz w:val="24"/>
        </w:rPr>
        <w:t>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2.我方已详细研究采购文件的所有内容，包括修改文件(如有)和所有已收到的参考资料以及有关附件(如有)，并完全明白，不存在任何含糊不清和误解之处，同意放弃对这些文件提出异议和质疑的权利。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w:t>
      </w:r>
      <w:r>
        <w:rPr>
          <w:rFonts w:hint="eastAsia" w:ascii="宋体" w:hAnsi="宋体" w:cs="宋体"/>
          <w:bCs/>
          <w:sz w:val="24"/>
          <w:lang w:val="en-US" w:eastAsia="zh-CN"/>
        </w:rPr>
        <w:t>3</w:t>
      </w:r>
      <w:r>
        <w:rPr>
          <w:rFonts w:hint="eastAsia" w:ascii="宋体" w:hAnsi="宋体" w:cs="宋体"/>
          <w:bCs/>
          <w:sz w:val="24"/>
        </w:rPr>
        <w:t>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格式2 法定代表人授权委托书及</w:t>
      </w:r>
      <w:r>
        <w:rPr>
          <w:rFonts w:ascii="宋体" w:hAnsi="宋体"/>
          <w:b/>
          <w:bCs/>
          <w:sz w:val="24"/>
        </w:rPr>
        <w:t>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w:t>
      </w:r>
      <w:r>
        <w:rPr>
          <w:rFonts w:hint="eastAsia" w:ascii="宋体" w:hAnsi="宋体" w:cs="宋体"/>
          <w:bCs/>
          <w:sz w:val="24"/>
          <w:lang w:eastAsia="zh-CN"/>
        </w:rPr>
        <w:t>中山市城市公交营运数字化转型升级策略研究咨询服务采购项目（第三次）</w:t>
      </w:r>
      <w:r>
        <w:rPr>
          <w:rFonts w:hint="eastAsia" w:ascii="宋体" w:hAnsi="宋体" w:cs="宋体"/>
          <w:bCs/>
          <w:sz w:val="24"/>
        </w:rPr>
        <w:t>”</w:t>
      </w:r>
      <w:r>
        <w:rPr>
          <w:rFonts w:hint="eastAsia" w:ascii="宋体" w:hAnsi="宋体" w:cs="宋体"/>
          <w:sz w:val="24"/>
          <w:szCs w:val="20"/>
        </w:rPr>
        <w:t>的参评、</w:t>
      </w:r>
      <w:r>
        <w:rPr>
          <w:rFonts w:hint="eastAsia" w:ascii="宋体" w:hAnsi="宋体" w:cs="宋体"/>
          <w:bCs/>
          <w:sz w:val="24"/>
        </w:rPr>
        <w:t>提供与签署确认文书资料等一切事宜。</w:t>
      </w:r>
    </w:p>
    <w:p>
      <w:pPr>
        <w:adjustRightInd w:val="0"/>
        <w:snapToGrid w:val="0"/>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w:t>
      </w:r>
      <w:r>
        <w:rPr>
          <w:rFonts w:hint="eastAsia" w:ascii="宋体" w:hAnsi="宋体" w:cs="宋体"/>
          <w:bCs/>
          <w:sz w:val="24"/>
          <w:lang w:val="en-US" w:eastAsia="zh-CN"/>
        </w:rPr>
        <w:t>3</w:t>
      </w:r>
      <w:r>
        <w:rPr>
          <w:rFonts w:hint="eastAsia" w:ascii="宋体" w:hAnsi="宋体" w:cs="宋体"/>
          <w:bCs/>
          <w:sz w:val="24"/>
        </w:rPr>
        <w:t>0日内有效。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w:t>
      </w:r>
      <w:r>
        <w:rPr>
          <w:rFonts w:hint="eastAsia" w:ascii="宋体" w:hAnsi="宋体" w:cs="宋体"/>
          <w:bCs/>
          <w:sz w:val="24"/>
          <w:lang w:eastAsia="zh-CN"/>
        </w:rPr>
        <w:t>（</w:t>
      </w:r>
      <w:r>
        <w:rPr>
          <w:rFonts w:hint="eastAsia" w:ascii="宋体" w:hAnsi="宋体" w:cs="宋体"/>
          <w:bCs/>
          <w:sz w:val="24"/>
          <w:lang w:val="en-US" w:eastAsia="zh-CN"/>
        </w:rPr>
        <w:t>签名</w:t>
      </w:r>
      <w:r>
        <w:rPr>
          <w:rFonts w:hint="eastAsia" w:ascii="宋体" w:hAnsi="宋体" w:cs="宋体"/>
          <w:bCs/>
          <w:sz w:val="24"/>
          <w:lang w:eastAsia="zh-CN"/>
        </w:rPr>
        <w:t>）</w:t>
      </w:r>
      <w:r>
        <w:rPr>
          <w:rFonts w:hint="eastAsia" w:ascii="宋体" w:hAnsi="宋体" w:cs="宋体"/>
          <w:bCs/>
          <w:sz w:val="24"/>
        </w:rPr>
        <w:t>：</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w:t>
      </w:r>
      <w:r>
        <w:rPr>
          <w:rFonts w:hint="eastAsia" w:ascii="宋体" w:hAnsi="宋体" w:cs="宋体"/>
          <w:bCs/>
          <w:sz w:val="24"/>
          <w:lang w:val="en-US" w:eastAsia="zh-CN"/>
        </w:rPr>
        <w:t>/负责人</w:t>
      </w:r>
      <w:r>
        <w:rPr>
          <w:rFonts w:hint="eastAsia" w:ascii="宋体" w:hAnsi="宋体" w:cs="宋体"/>
          <w:bCs/>
          <w:sz w:val="24"/>
        </w:rPr>
        <w:t>，则本委托书不适用。</w:t>
      </w:r>
    </w:p>
    <w:p>
      <w:pPr>
        <w:adjustRightInd w:val="0"/>
        <w:snapToGrid w:val="0"/>
        <w:spacing w:line="560" w:lineRule="exact"/>
        <w:ind w:firstLine="480" w:firstLineChars="200"/>
        <w:rPr>
          <w:rFonts w:ascii="宋体" w:hAnsi="宋体" w:cs="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ascii="宋体" w:hAnsi="宋体" w:cs="仿宋_GB2312"/>
          <w:b/>
          <w:sz w:val="44"/>
          <w:szCs w:val="44"/>
        </w:rPr>
      </w:pPr>
    </w:p>
    <w:p>
      <w:pPr>
        <w:tabs>
          <w:tab w:val="left" w:pos="900"/>
        </w:tabs>
        <w:spacing w:line="560" w:lineRule="exact"/>
        <w:rPr>
          <w:rFonts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pPr>
        <w:adjustRightInd w:val="0"/>
        <w:snapToGrid w:val="0"/>
        <w:spacing w:line="560" w:lineRule="exact"/>
        <w:ind w:firstLine="960" w:firstLineChars="400"/>
        <w:rPr>
          <w:rFonts w:ascii="宋体" w:hAnsi="宋体" w:cs="宋体"/>
          <w:bCs/>
          <w:sz w:val="24"/>
        </w:rPr>
      </w:pPr>
    </w:p>
    <w:p>
      <w:pPr>
        <w:tabs>
          <w:tab w:val="left" w:pos="900"/>
        </w:tabs>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pPr>
        <w:adjustRightInd w:val="0"/>
        <w:snapToGrid w:val="0"/>
        <w:spacing w:line="560" w:lineRule="exact"/>
        <w:rPr>
          <w:rFonts w:ascii="宋体" w:hAnsi="宋体" w:cs="宋体"/>
          <w:bCs/>
          <w:sz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spacing w:line="560" w:lineRule="exact"/>
        <w:rPr>
          <w:rFonts w:ascii="宋体" w:hAnsi="宋体"/>
          <w:bCs/>
          <w:sz w:val="24"/>
        </w:rPr>
      </w:pPr>
      <w:r>
        <w:rPr>
          <w:rFonts w:hint="eastAsia" w:ascii="宋体" w:hAnsi="宋体"/>
          <w:bCs/>
          <w:sz w:val="24"/>
        </w:rPr>
        <w:t xml:space="preserve">                                           </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
          <w:bCs/>
          <w:sz w:val="24"/>
        </w:rPr>
      </w:pPr>
    </w:p>
    <w:p>
      <w:pPr>
        <w:pStyle w:val="31"/>
        <w:ind w:firstLine="241"/>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格式3 营业执照、资质证明等材料</w:t>
      </w:r>
    </w:p>
    <w:p>
      <w:pPr>
        <w:adjustRightInd w:val="0"/>
        <w:snapToGrid w:val="0"/>
        <w:spacing w:line="560" w:lineRule="exact"/>
        <w:ind w:firstLine="480" w:firstLineChars="200"/>
        <w:rPr>
          <w:rFonts w:ascii="仿宋_GB2312" w:eastAsia="仿宋_GB2312"/>
          <w:bCs/>
          <w:sz w:val="24"/>
        </w:rPr>
      </w:pPr>
    </w:p>
    <w:p>
      <w:pPr>
        <w:tabs>
          <w:tab w:val="left" w:pos="900"/>
        </w:tabs>
        <w:adjustRightInd/>
        <w:snapToGrid/>
        <w:spacing w:line="560" w:lineRule="exact"/>
        <w:jc w:val="center"/>
        <w:rPr>
          <w:rFonts w:hint="eastAsia" w:ascii="宋体" w:hAnsi="宋体" w:cs="仿宋_GB2312"/>
          <w:b/>
          <w:sz w:val="44"/>
          <w:szCs w:val="44"/>
        </w:rPr>
      </w:pPr>
      <w:r>
        <w:rPr>
          <w:rFonts w:hint="eastAsia" w:ascii="宋体" w:hAnsi="宋体" w:cs="仿宋_GB2312"/>
          <w:b/>
          <w:sz w:val="44"/>
          <w:szCs w:val="44"/>
        </w:rPr>
        <w:t>具有独立承</w:t>
      </w:r>
      <w:r>
        <w:rPr>
          <w:rFonts w:hint="eastAsia" w:ascii="宋体" w:hAnsi="宋体" w:eastAsia="宋体" w:cs="仿宋_GB2312"/>
          <w:b/>
          <w:sz w:val="44"/>
          <w:szCs w:val="44"/>
        </w:rPr>
        <w:t>担</w:t>
      </w:r>
      <w:r>
        <w:rPr>
          <w:rFonts w:hint="eastAsia" w:ascii="宋体" w:hAnsi="宋体" w:cs="仿宋_GB2312"/>
          <w:b/>
          <w:sz w:val="44"/>
          <w:szCs w:val="44"/>
        </w:rPr>
        <w:t>民事责任能力</w:t>
      </w:r>
      <w:r>
        <w:rPr>
          <w:rFonts w:hint="eastAsia" w:ascii="宋体" w:hAnsi="宋体" w:cs="仿宋_GB2312"/>
          <w:b/>
          <w:sz w:val="44"/>
          <w:szCs w:val="44"/>
          <w:lang w:val="en-US" w:eastAsia="zh-CN"/>
        </w:rPr>
        <w:t>且经营或业务范围至少涵盖以下相关领域中的任一项：规划研究、技术研究、决策支持、智慧交通、技术咨询</w:t>
      </w:r>
      <w:r>
        <w:rPr>
          <w:rFonts w:hint="eastAsia" w:ascii="宋体" w:hAnsi="宋体" w:cs="仿宋_GB2312"/>
          <w:b/>
          <w:sz w:val="44"/>
          <w:szCs w:val="44"/>
        </w:rPr>
        <w:t>等</w:t>
      </w:r>
      <w:r>
        <w:rPr>
          <w:rFonts w:hint="eastAsia" w:ascii="宋体" w:hAnsi="宋体" w:cs="仿宋_GB2312"/>
          <w:b/>
          <w:sz w:val="44"/>
          <w:szCs w:val="44"/>
          <w:lang w:eastAsia="zh-CN"/>
        </w:rPr>
        <w:t>。</w:t>
      </w:r>
      <w:r>
        <w:rPr>
          <w:rFonts w:hint="eastAsia" w:ascii="宋体" w:hAnsi="宋体" w:cs="仿宋_GB2312"/>
          <w:b/>
          <w:sz w:val="44"/>
          <w:szCs w:val="44"/>
        </w:rPr>
        <w:t>参评单位需在中华人民共和国境内注册，并提供包含经营</w:t>
      </w:r>
      <w:r>
        <w:rPr>
          <w:rFonts w:hint="eastAsia" w:ascii="宋体" w:hAnsi="宋体" w:cs="仿宋_GB2312"/>
          <w:b/>
          <w:sz w:val="44"/>
          <w:szCs w:val="44"/>
          <w:lang w:val="en-US" w:eastAsia="zh-CN"/>
        </w:rPr>
        <w:t>或业务</w:t>
      </w:r>
      <w:r>
        <w:rPr>
          <w:rFonts w:hint="eastAsia" w:ascii="宋体" w:hAnsi="宋体" w:cs="仿宋_GB2312"/>
          <w:b/>
          <w:sz w:val="44"/>
          <w:szCs w:val="44"/>
        </w:rPr>
        <w:t>范围的营业执照</w:t>
      </w:r>
      <w:r>
        <w:rPr>
          <w:rFonts w:hint="eastAsia" w:ascii="宋体" w:hAnsi="宋体" w:cs="仿宋_GB2312"/>
          <w:b/>
          <w:sz w:val="44"/>
          <w:szCs w:val="44"/>
          <w:lang w:val="en-US" w:eastAsia="zh-CN"/>
        </w:rPr>
        <w:t>或其他相关</w:t>
      </w:r>
      <w:r>
        <w:rPr>
          <w:rFonts w:hint="eastAsia" w:ascii="宋体" w:hAnsi="宋体" w:cs="仿宋_GB2312"/>
          <w:b/>
          <w:sz w:val="44"/>
          <w:szCs w:val="44"/>
        </w:rPr>
        <w:t>证明材料（盖章）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 xml:space="preserve">格式4 </w:t>
      </w:r>
      <w:r>
        <w:rPr>
          <w:rFonts w:hint="eastAsia" w:ascii="宋体" w:hAnsi="宋体"/>
          <w:b/>
          <w:bCs/>
          <w:sz w:val="24"/>
          <w:lang w:val="en-US" w:eastAsia="zh-CN"/>
        </w:rPr>
        <w:t>技术商务评分响应</w:t>
      </w:r>
      <w:r>
        <w:rPr>
          <w:rFonts w:hint="eastAsia" w:ascii="宋体" w:hAnsi="宋体"/>
          <w:b/>
          <w:bCs/>
          <w:sz w:val="24"/>
        </w:rPr>
        <w:t>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提供技术商务评分响应资料/供应商认为需要</w:t>
      </w:r>
      <w:r>
        <w:rPr>
          <w:rFonts w:hint="eastAsia" w:ascii="宋体" w:hAnsi="宋体" w:cs="仿宋_GB2312"/>
          <w:b/>
          <w:sz w:val="44"/>
          <w:szCs w:val="44"/>
        </w:rPr>
        <w:t>提供</w:t>
      </w:r>
      <w:r>
        <w:rPr>
          <w:rFonts w:hint="eastAsia" w:ascii="宋体" w:hAnsi="宋体" w:cs="仿宋_GB2312"/>
          <w:b/>
          <w:sz w:val="44"/>
          <w:szCs w:val="44"/>
          <w:lang w:val="en-US" w:eastAsia="zh-CN"/>
        </w:rPr>
        <w:t>的其他技术商务资料和说明</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5</w:t>
      </w:r>
      <w:r>
        <w:rPr>
          <w:rFonts w:hint="eastAsia" w:ascii="宋体" w:hAnsi="宋体"/>
          <w:b/>
          <w:bCs/>
          <w:sz w:val="24"/>
        </w:rPr>
        <w:t xml:space="preserve"> </w:t>
      </w:r>
      <w:r>
        <w:rPr>
          <w:rFonts w:hint="eastAsia" w:ascii="宋体" w:hAnsi="宋体"/>
          <w:b/>
          <w:bCs/>
          <w:sz w:val="24"/>
          <w:lang w:val="en-US" w:eastAsia="zh-CN"/>
        </w:rPr>
        <w:t>其他文件</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供应商认为需要提供的其他资料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w:t>
      </w:r>
      <w:r>
        <w:rPr>
          <w:rFonts w:hint="eastAsia" w:ascii="宋体" w:hAnsi="宋体"/>
          <w:b/>
          <w:bCs/>
          <w:sz w:val="24"/>
          <w:lang w:val="en-US" w:eastAsia="zh-CN"/>
        </w:rPr>
        <w:t>6</w:t>
      </w:r>
      <w:r>
        <w:rPr>
          <w:rFonts w:hint="eastAsia" w:ascii="宋体" w:hAnsi="宋体"/>
          <w:b/>
          <w:bCs/>
          <w:sz w:val="24"/>
        </w:rPr>
        <w:t xml:space="preserve"> 报价表</w:t>
      </w:r>
    </w:p>
    <w:p>
      <w:pPr>
        <w:adjustRightInd w:val="0"/>
        <w:snapToGrid w:val="0"/>
        <w:spacing w:line="560" w:lineRule="exact"/>
        <w:rPr>
          <w:rFonts w:ascii="宋体" w:hAnsi="宋体"/>
          <w:b/>
          <w:bCs/>
          <w:sz w:val="24"/>
        </w:rPr>
      </w:pPr>
    </w:p>
    <w:p>
      <w:pPr>
        <w:tabs>
          <w:tab w:val="left" w:pos="900"/>
        </w:tabs>
        <w:spacing w:line="560" w:lineRule="exact"/>
        <w:jc w:val="center"/>
        <w:rPr>
          <w:rFonts w:hint="eastAsia" w:eastAsia="宋体"/>
          <w:sz w:val="44"/>
          <w:szCs w:val="44"/>
          <w:lang w:eastAsia="zh-CN"/>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pStyle w:val="29"/>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cs="宋体"/>
          <w:b/>
          <w:bCs/>
          <w:spacing w:val="-11"/>
          <w:sz w:val="24"/>
        </w:rPr>
      </w:pPr>
      <w:r>
        <w:rPr>
          <w:rFonts w:hint="eastAsia" w:ascii="宋体" w:hAnsi="宋体" w:cs="宋体"/>
          <w:b/>
          <w:bCs/>
          <w:spacing w:val="-11"/>
          <w:sz w:val="24"/>
        </w:rPr>
        <w:t>项目名称：</w:t>
      </w:r>
      <w:r>
        <w:rPr>
          <w:rFonts w:hint="eastAsia" w:ascii="宋体" w:hAnsi="宋体" w:cs="宋体"/>
          <w:b/>
          <w:bCs/>
          <w:spacing w:val="-11"/>
          <w:sz w:val="24"/>
          <w:lang w:val="en-US" w:eastAsia="zh-CN"/>
        </w:rPr>
        <w:t>中山市城市公交营运数字化转型升级策略研究咨询服务采购项目（第三次）</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lang w:eastAsia="zh-CN" w:bidi="ar"/>
              </w:rPr>
              <w:t>需求服务</w:t>
            </w:r>
            <w:r>
              <w:rPr>
                <w:rFonts w:hint="eastAsia" w:ascii="宋体" w:hAnsi="宋体" w:cs="宋体"/>
                <w:color w:val="000000"/>
                <w:kern w:val="0"/>
                <w:sz w:val="24"/>
                <w:lang w:bidi="ar"/>
              </w:rPr>
              <w:t>内容</w:t>
            </w:r>
          </w:p>
        </w:tc>
      </w:tr>
      <w:tr>
        <w:tblPrEx>
          <w:tblCellMar>
            <w:top w:w="0" w:type="dxa"/>
            <w:left w:w="108" w:type="dxa"/>
            <w:bottom w:w="0" w:type="dxa"/>
            <w:right w:w="108" w:type="dxa"/>
          </w:tblCellMar>
        </w:tblPrEx>
        <w:trPr>
          <w:trHeight w:val="13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研究编制以下内容：</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cs="宋体"/>
                <w:sz w:val="24"/>
                <w:lang w:val="en-US" w:eastAsia="zh-CN"/>
              </w:rPr>
            </w:pPr>
            <w:r>
              <w:rPr>
                <w:rFonts w:hint="eastAsia" w:ascii="宋体" w:hAnsi="宋体" w:cs="宋体"/>
                <w:sz w:val="24"/>
                <w:lang w:val="en-US" w:eastAsia="zh-CN"/>
              </w:rPr>
              <w:t>分析中山市城市公交数字化转型发展现状;</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剖析中山市城市公交数字化转型面临主要障碍;</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借鉴国内城市公交数字化转型升级的主要经验;</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中山市城市公交数字化转型发展目标和思路;</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构建中山市城市公交数字化转型升级策略体系;</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中山市城市公交数字化转型升级保障措施;</w:t>
            </w:r>
          </w:p>
          <w:p>
            <w:pPr>
              <w:numPr>
                <w:ilvl w:val="0"/>
                <w:numId w:val="8"/>
              </w:numPr>
              <w:spacing w:line="560" w:lineRule="exact"/>
              <w:ind w:left="0" w:leftChars="0" w:firstLine="420" w:firstLineChars="0"/>
              <w:rPr>
                <w:rFonts w:ascii="宋体" w:hAnsi="宋体" w:cs="宋体"/>
                <w:color w:val="000000"/>
                <w:sz w:val="24"/>
              </w:rPr>
            </w:pPr>
            <w:r>
              <w:rPr>
                <w:rFonts w:hint="eastAsia" w:ascii="宋体" w:hAnsi="宋体" w:cs="宋体"/>
                <w:sz w:val="24"/>
                <w:lang w:val="en-US" w:eastAsia="zh-CN"/>
              </w:rPr>
              <w:t>2023年度省级城市公交行业创新发展优选项目申报评估咨询。</w:t>
            </w: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报价（含税）：人民币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供应商完成上述项目的所需的调研费、报告费、印刷费、包装费、差旅费、售后服务费等一切费用。未经采购人书面同意，供应商不得向采购人额外收取其他费用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hint="eastAsia" w:ascii="宋体" w:hAnsi="宋体" w:cs="宋体"/>
          <w:bCs/>
          <w:sz w:val="24"/>
        </w:rPr>
      </w:pPr>
      <w:r>
        <w:rPr>
          <w:rFonts w:hint="eastAsia" w:ascii="宋体" w:hAnsi="宋体" w:cs="宋体"/>
          <w:bCs/>
          <w:sz w:val="24"/>
        </w:rPr>
        <w:t>3.报价自报名截止之日后</w:t>
      </w:r>
      <w:r>
        <w:rPr>
          <w:rFonts w:hint="eastAsia" w:ascii="宋体" w:hAnsi="宋体" w:cs="宋体"/>
          <w:bCs/>
          <w:sz w:val="24"/>
          <w:lang w:val="en-US" w:eastAsia="zh-CN"/>
        </w:rPr>
        <w:t>3</w:t>
      </w:r>
      <w:r>
        <w:rPr>
          <w:rFonts w:hint="eastAsia" w:ascii="宋体" w:hAnsi="宋体" w:cs="宋体"/>
          <w:bCs/>
          <w:sz w:val="24"/>
        </w:rPr>
        <w:t>0天内有效。</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bCs/>
          <w:sz w:val="24"/>
        </w:rPr>
      </w:pPr>
      <w:r>
        <w:rPr>
          <w:rFonts w:hint="eastAsia" w:ascii="宋体" w:hAnsi="宋体"/>
          <w:bCs/>
          <w:sz w:val="24"/>
        </w:rPr>
        <w:t>日期：</w:t>
      </w:r>
    </w:p>
    <w:p>
      <w:pPr>
        <w:adjustRightInd w:val="0"/>
        <w:snapToGrid w:val="0"/>
        <w:spacing w:line="560" w:lineRule="exact"/>
        <w:rPr>
          <w:rFonts w:ascii="宋体" w:hAnsi="宋体"/>
          <w:bCs/>
          <w:sz w:val="24"/>
        </w:rPr>
      </w:pPr>
    </w:p>
    <w:p>
      <w:pPr>
        <w:rPr>
          <w:rFonts w:hint="eastAsia" w:ascii="宋体" w:hAnsi="宋体"/>
          <w:b/>
          <w:bCs/>
          <w:sz w:val="24"/>
        </w:rPr>
        <w:sectPr>
          <w:headerReference r:id="rId11" w:type="default"/>
          <w:footerReference r:id="rId12" w:type="default"/>
          <w:pgSz w:w="11907" w:h="16840"/>
          <w:pgMar w:top="1134" w:right="1417" w:bottom="1134" w:left="1417" w:header="624" w:footer="992" w:gutter="0"/>
          <w:cols w:space="720" w:num="1"/>
          <w:docGrid w:linePitch="312" w:charSpace="0"/>
        </w:sectPr>
      </w:pPr>
    </w:p>
    <w:bookmarkEnd w:id="0"/>
    <w:bookmarkEnd w:id="4"/>
    <w:p>
      <w:pPr>
        <w:adjustRightInd w:val="0"/>
        <w:snapToGrid w:val="0"/>
        <w:spacing w:line="560" w:lineRule="exact"/>
        <w:rPr>
          <w:rFonts w:hint="eastAsia" w:ascii="宋体" w:hAnsi="宋体"/>
          <w:b/>
          <w:bCs/>
          <w:sz w:val="24"/>
        </w:rPr>
      </w:pPr>
      <w:r>
        <w:rPr>
          <w:rFonts w:hint="eastAsia" w:ascii="宋体" w:hAnsi="宋体"/>
          <w:b/>
          <w:bCs/>
          <w:sz w:val="24"/>
        </w:rPr>
        <w:t>格式</w:t>
      </w:r>
      <w:r>
        <w:rPr>
          <w:rFonts w:hint="eastAsia" w:ascii="宋体" w:hAnsi="宋体"/>
          <w:b/>
          <w:bCs/>
          <w:sz w:val="24"/>
          <w:lang w:val="en-US" w:eastAsia="zh-CN"/>
        </w:rPr>
        <w:t xml:space="preserve">7 </w:t>
      </w:r>
      <w:r>
        <w:rPr>
          <w:rFonts w:hint="eastAsia" w:ascii="宋体" w:hAnsi="宋体"/>
          <w:b/>
          <w:bCs/>
          <w:sz w:val="24"/>
        </w:rPr>
        <w:t>需求响应表</w:t>
      </w:r>
    </w:p>
    <w:p>
      <w:pPr>
        <w:spacing w:after="360" w:afterLines="150" w:line="480" w:lineRule="exact"/>
        <w:jc w:val="center"/>
        <w:rPr>
          <w:rFonts w:ascii="宋体" w:hAnsi="宋体"/>
          <w:b/>
          <w:bCs/>
          <w:sz w:val="24"/>
        </w:rPr>
      </w:pPr>
      <w:r>
        <w:rPr>
          <w:rFonts w:hint="eastAsia" w:ascii="宋体" w:hAnsi="宋体"/>
          <w:b/>
          <w:bCs/>
          <w:sz w:val="24"/>
        </w:rPr>
        <w:t>需求响应表</w:t>
      </w:r>
    </w:p>
    <w:p>
      <w:pPr>
        <w:spacing w:line="360" w:lineRule="auto"/>
        <w:rPr>
          <w:rFonts w:ascii="宋体" w:hAnsi="宋体"/>
          <w:bCs/>
          <w:sz w:val="24"/>
        </w:rPr>
      </w:pPr>
      <w:r>
        <w:rPr>
          <w:rFonts w:hint="eastAsia" w:ascii="宋体" w:hAnsi="宋体"/>
          <w:b/>
          <w:bCs/>
          <w:sz w:val="24"/>
        </w:rPr>
        <w:t>项目名称：</w:t>
      </w:r>
      <w:r>
        <w:rPr>
          <w:rFonts w:hint="eastAsia" w:ascii="宋体" w:hAnsi="宋体" w:cs="宋体"/>
          <w:b/>
          <w:bCs/>
          <w:spacing w:val="-11"/>
          <w:sz w:val="24"/>
          <w:lang w:val="en-US" w:eastAsia="zh-CN"/>
        </w:rPr>
        <w:t>中山市城市公交营运数字化转型升级策略研究咨询服务采购项目（第三次）</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055"/>
        <w:gridCol w:w="2639"/>
        <w:gridCol w:w="13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pStyle w:val="8"/>
              <w:ind w:firstLine="0"/>
              <w:jc w:val="center"/>
              <w:rPr>
                <w:rFonts w:hAnsi="宋体" w:cs="宋体"/>
                <w:b/>
                <w:bCs/>
                <w:sz w:val="24"/>
                <w:szCs w:val="24"/>
              </w:rPr>
            </w:pPr>
            <w:r>
              <w:rPr>
                <w:rFonts w:hint="eastAsia" w:hAnsi="宋体" w:cs="宋体"/>
                <w:b/>
                <w:bCs/>
                <w:sz w:val="24"/>
                <w:szCs w:val="24"/>
              </w:rPr>
              <w:t>序号</w:t>
            </w:r>
          </w:p>
        </w:tc>
        <w:tc>
          <w:tcPr>
            <w:tcW w:w="3055" w:type="dxa"/>
            <w:vAlign w:val="center"/>
          </w:tcPr>
          <w:p>
            <w:pPr>
              <w:pStyle w:val="8"/>
              <w:ind w:firstLine="0"/>
              <w:jc w:val="center"/>
              <w:rPr>
                <w:rFonts w:hAnsi="宋体" w:cs="宋体"/>
                <w:b/>
                <w:bCs/>
                <w:sz w:val="24"/>
                <w:szCs w:val="24"/>
              </w:rPr>
            </w:pPr>
            <w:r>
              <w:rPr>
                <w:rFonts w:hint="eastAsia" w:hAnsi="宋体" w:cs="宋体"/>
                <w:b/>
                <w:bCs/>
                <w:sz w:val="24"/>
                <w:szCs w:val="24"/>
              </w:rPr>
              <w:t>采购文件需求要求</w:t>
            </w:r>
          </w:p>
        </w:tc>
        <w:tc>
          <w:tcPr>
            <w:tcW w:w="2639" w:type="dxa"/>
            <w:vAlign w:val="center"/>
          </w:tcPr>
          <w:p>
            <w:pPr>
              <w:pStyle w:val="8"/>
              <w:ind w:firstLine="0"/>
              <w:jc w:val="center"/>
              <w:rPr>
                <w:rFonts w:hAnsi="宋体" w:cs="宋体"/>
                <w:b/>
                <w:bCs/>
                <w:sz w:val="24"/>
                <w:szCs w:val="24"/>
              </w:rPr>
            </w:pPr>
            <w:r>
              <w:rPr>
                <w:rFonts w:hint="eastAsia" w:hAnsi="宋体" w:cs="宋体"/>
                <w:b/>
                <w:bCs/>
                <w:sz w:val="24"/>
                <w:szCs w:val="24"/>
              </w:rPr>
              <w:t>参评文件响应情况</w:t>
            </w:r>
          </w:p>
        </w:tc>
        <w:tc>
          <w:tcPr>
            <w:tcW w:w="1300" w:type="dxa"/>
            <w:vAlign w:val="center"/>
          </w:tcPr>
          <w:p>
            <w:pPr>
              <w:pStyle w:val="8"/>
              <w:ind w:firstLine="0"/>
              <w:jc w:val="center"/>
              <w:rPr>
                <w:rFonts w:hAnsi="宋体" w:cs="宋体"/>
                <w:b/>
                <w:bCs/>
                <w:sz w:val="24"/>
                <w:szCs w:val="24"/>
              </w:rPr>
            </w:pPr>
            <w:r>
              <w:rPr>
                <w:rFonts w:hint="eastAsia" w:hAnsi="宋体" w:cs="宋体"/>
                <w:b/>
                <w:bCs/>
                <w:sz w:val="24"/>
                <w:szCs w:val="24"/>
              </w:rPr>
              <w:t>偏离情况</w:t>
            </w:r>
          </w:p>
        </w:tc>
        <w:tc>
          <w:tcPr>
            <w:tcW w:w="1372" w:type="dxa"/>
            <w:vAlign w:val="center"/>
          </w:tcPr>
          <w:p>
            <w:pPr>
              <w:pStyle w:val="8"/>
              <w:ind w:firstLine="0"/>
              <w:jc w:val="center"/>
              <w:rPr>
                <w:rFonts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1" w:type="dxa"/>
            <w:vAlign w:val="center"/>
          </w:tcPr>
          <w:p>
            <w:pPr>
              <w:keepLines/>
              <w:widowControl/>
              <w:jc w:val="center"/>
              <w:rPr>
                <w:rFonts w:ascii="宋体" w:hAnsi="宋体"/>
                <w:bCs/>
                <w:sz w:val="24"/>
              </w:rPr>
            </w:pPr>
            <w:r>
              <w:rPr>
                <w:rFonts w:hint="eastAsia" w:ascii="宋体" w:hAnsi="宋体"/>
                <w:bCs/>
                <w:sz w:val="24"/>
              </w:rPr>
              <w:t>1</w:t>
            </w:r>
          </w:p>
        </w:tc>
        <w:tc>
          <w:tcPr>
            <w:tcW w:w="3055" w:type="dxa"/>
            <w:vAlign w:val="center"/>
          </w:tcPr>
          <w:p>
            <w:pPr>
              <w:rPr>
                <w:rFonts w:hint="default"/>
                <w:sz w:val="22"/>
                <w:szCs w:val="28"/>
                <w:lang w:val="en-US" w:eastAsia="zh-CN"/>
              </w:rPr>
            </w:pPr>
            <w:r>
              <w:rPr>
                <w:rFonts w:hint="eastAsia"/>
                <w:sz w:val="22"/>
                <w:szCs w:val="28"/>
                <w:lang w:val="en-US" w:eastAsia="zh-CN"/>
              </w:rPr>
              <w:t>研究编制以下内容：</w:t>
            </w:r>
          </w:p>
          <w:p>
            <w:pPr>
              <w:numPr>
                <w:ilvl w:val="0"/>
                <w:numId w:val="9"/>
              </w:numPr>
              <w:ind w:left="0" w:leftChars="0" w:firstLine="0" w:firstLineChars="0"/>
              <w:rPr>
                <w:rFonts w:hint="eastAsia"/>
                <w:sz w:val="22"/>
                <w:szCs w:val="28"/>
                <w:lang w:val="en-US" w:eastAsia="zh-CN"/>
              </w:rPr>
            </w:pPr>
            <w:r>
              <w:rPr>
                <w:rFonts w:hint="eastAsia"/>
                <w:sz w:val="22"/>
                <w:szCs w:val="28"/>
                <w:lang w:val="en-US" w:eastAsia="zh-CN"/>
              </w:rPr>
              <w:t>分析中山市城市公交数字化转型发展现状;</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sz w:val="22"/>
                <w:szCs w:val="28"/>
                <w:lang w:val="en-US" w:eastAsia="zh-CN"/>
              </w:rPr>
              <w:t>剖析中山市城市公交数</w:t>
            </w:r>
            <w:r>
              <w:rPr>
                <w:rFonts w:hint="eastAsia" w:ascii="Times New Roman" w:hAnsi="Times New Roman" w:eastAsia="宋体" w:cs="Times New Roman"/>
                <w:sz w:val="22"/>
                <w:szCs w:val="28"/>
                <w:lang w:val="en-US" w:eastAsia="zh-CN"/>
              </w:rPr>
              <w:t>字化转型面临主要障碍;</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借鉴国内城市公交数字化转型升级的主要经验;</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中山市城市公交数字化转型发展目标和思路;</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构建中山市城市公交数字化转型升级策略体系;</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中山市城市公交数字化转型升级保障措施;</w:t>
            </w:r>
          </w:p>
          <w:p>
            <w:pPr>
              <w:numPr>
                <w:ilvl w:val="0"/>
                <w:numId w:val="9"/>
              </w:numPr>
              <w:ind w:left="0" w:leftChars="0" w:firstLine="0" w:firstLineChars="0"/>
              <w:rPr>
                <w:rFonts w:ascii="宋体" w:hAnsi="宋体"/>
                <w:bCs/>
                <w:sz w:val="24"/>
              </w:rPr>
            </w:pPr>
            <w:r>
              <w:rPr>
                <w:rFonts w:hint="eastAsia" w:ascii="Times New Roman" w:hAnsi="Times New Roman" w:eastAsia="宋体" w:cs="Times New Roman"/>
                <w:sz w:val="22"/>
                <w:szCs w:val="28"/>
                <w:lang w:val="en-US" w:eastAsia="zh-CN"/>
              </w:rPr>
              <w:t>2023年度省级城市公交行业创新发展优选项目申报评估咨询。</w:t>
            </w:r>
          </w:p>
        </w:tc>
        <w:tc>
          <w:tcPr>
            <w:tcW w:w="2639" w:type="dxa"/>
            <w:vAlign w:val="center"/>
          </w:tcPr>
          <w:p>
            <w:pPr>
              <w:jc w:val="center"/>
            </w:pPr>
            <w:r>
              <w:rPr>
                <w:rFonts w:hint="eastAsia"/>
              </w:rPr>
              <w:t>□完全响应</w:t>
            </w:r>
          </w:p>
          <w:p>
            <w:pPr>
              <w:keepLines/>
              <w:widowControl/>
              <w:jc w:val="center"/>
              <w:rPr>
                <w:rFonts w:ascii="宋体" w:hAnsi="宋体"/>
                <w:bCs/>
                <w:sz w:val="24"/>
              </w:rPr>
            </w:pPr>
            <w:r>
              <w:rPr>
                <w:rFonts w:hint="eastAsia"/>
              </w:rPr>
              <w:t>□部分响应</w:t>
            </w:r>
          </w:p>
        </w:tc>
        <w:tc>
          <w:tcPr>
            <w:tcW w:w="1300" w:type="dxa"/>
          </w:tcPr>
          <w:p>
            <w:pPr>
              <w:pStyle w:val="8"/>
              <w:ind w:firstLine="0"/>
              <w:rPr>
                <w:rFonts w:hAnsi="宋体" w:cs="宋体"/>
                <w:bCs/>
                <w:sz w:val="24"/>
                <w:szCs w:val="24"/>
              </w:rPr>
            </w:pPr>
          </w:p>
        </w:tc>
        <w:tc>
          <w:tcPr>
            <w:tcW w:w="1372" w:type="dxa"/>
          </w:tcPr>
          <w:p>
            <w:pPr>
              <w:pStyle w:val="8"/>
              <w:ind w:firstLine="0"/>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1" w:type="dxa"/>
            <w:vAlign w:val="center"/>
          </w:tcPr>
          <w:p>
            <w:pPr>
              <w:keepLines/>
              <w:widowControl/>
              <w:jc w:val="center"/>
              <w:rPr>
                <w:rFonts w:ascii="宋体" w:hAnsi="宋体"/>
                <w:bCs/>
                <w:sz w:val="24"/>
              </w:rPr>
            </w:pPr>
            <w:r>
              <w:rPr>
                <w:rFonts w:hint="eastAsia" w:ascii="宋体" w:hAnsi="宋体"/>
                <w:bCs/>
                <w:sz w:val="24"/>
              </w:rPr>
              <w:t>2</w:t>
            </w:r>
          </w:p>
        </w:tc>
        <w:tc>
          <w:tcPr>
            <w:tcW w:w="3055" w:type="dxa"/>
            <w:vAlign w:val="center"/>
          </w:tcPr>
          <w:p>
            <w:pPr>
              <w:numPr>
                <w:ilvl w:val="0"/>
                <w:numId w:val="0"/>
              </w:numPr>
              <w:ind w:leftChars="0"/>
              <w:rPr>
                <w:rFonts w:ascii="宋体" w:hAnsi="宋体"/>
                <w:bCs/>
                <w:sz w:val="24"/>
              </w:rPr>
            </w:pPr>
            <w:r>
              <w:rPr>
                <w:rFonts w:hint="eastAsia" w:ascii="Times New Roman" w:hAnsi="Times New Roman" w:eastAsia="宋体" w:cs="Times New Roman"/>
                <w:sz w:val="22"/>
                <w:szCs w:val="28"/>
                <w:lang w:val="en-US" w:eastAsia="zh-CN"/>
              </w:rPr>
              <w:t>合同签订后，中选人提交的编制申请报告，并通过相关上级审核及上报，采购人支付合同款的20%。</w:t>
            </w:r>
          </w:p>
        </w:tc>
        <w:tc>
          <w:tcPr>
            <w:tcW w:w="2639" w:type="dxa"/>
            <w:vAlign w:val="center"/>
          </w:tcPr>
          <w:p>
            <w:pPr>
              <w:jc w:val="center"/>
            </w:pPr>
            <w:r>
              <w:rPr>
                <w:rFonts w:hint="eastAsia"/>
              </w:rPr>
              <w:t>□完全响应</w:t>
            </w:r>
          </w:p>
          <w:p>
            <w:pPr>
              <w:keepLines/>
              <w:widowControl/>
              <w:jc w:val="center"/>
              <w:rPr>
                <w:rFonts w:ascii="宋体" w:hAnsi="宋体" w:eastAsia="宋体" w:cs="Times New Roman"/>
                <w:bCs/>
                <w:kern w:val="2"/>
                <w:sz w:val="24"/>
                <w:szCs w:val="24"/>
                <w:lang w:val="en-US" w:eastAsia="zh-CN" w:bidi="ar-SA"/>
              </w:rPr>
            </w:pPr>
            <w:r>
              <w:rPr>
                <w:rFonts w:hint="eastAsia"/>
              </w:rPr>
              <w:t>□部分响应</w:t>
            </w:r>
          </w:p>
        </w:tc>
        <w:tc>
          <w:tcPr>
            <w:tcW w:w="1300" w:type="dxa"/>
          </w:tcPr>
          <w:p>
            <w:pPr>
              <w:pStyle w:val="8"/>
              <w:ind w:firstLine="0"/>
              <w:rPr>
                <w:rFonts w:hAnsi="宋体" w:cs="宋体"/>
                <w:bCs/>
                <w:sz w:val="24"/>
                <w:szCs w:val="24"/>
              </w:rPr>
            </w:pPr>
          </w:p>
        </w:tc>
        <w:tc>
          <w:tcPr>
            <w:tcW w:w="1372" w:type="dxa"/>
          </w:tcPr>
          <w:p>
            <w:pPr>
              <w:pStyle w:val="8"/>
              <w:ind w:firstLine="0"/>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rPr>
            </w:pPr>
            <w:r>
              <w:rPr>
                <w:rFonts w:hint="eastAsia" w:ascii="宋体" w:hAnsi="宋体"/>
                <w:bCs/>
                <w:sz w:val="24"/>
              </w:rPr>
              <w:t>3</w:t>
            </w:r>
          </w:p>
        </w:tc>
        <w:tc>
          <w:tcPr>
            <w:tcW w:w="3055" w:type="dxa"/>
            <w:vAlign w:val="center"/>
          </w:tcPr>
          <w:p>
            <w:pPr>
              <w:keepLines/>
              <w:widowControl/>
              <w:jc w:val="left"/>
              <w:rPr>
                <w:rFonts w:hint="default" w:ascii="宋体" w:hAnsi="宋体"/>
                <w:bCs/>
                <w:sz w:val="24"/>
                <w:lang w:val="en-US" w:eastAsia="zh-CN"/>
              </w:rPr>
            </w:pPr>
            <w:r>
              <w:rPr>
                <w:rFonts w:hint="eastAsia" w:ascii="宋体" w:hAnsi="宋体" w:cs="宋体"/>
                <w:sz w:val="24"/>
                <w:lang w:val="en-US" w:eastAsia="zh-CN"/>
              </w:rPr>
              <w:t>整体研究编制工作完成，并通过</w:t>
            </w:r>
            <w:r>
              <w:rPr>
                <w:rFonts w:hint="eastAsia" w:ascii="宋体" w:hAnsi="宋体" w:eastAsia="宋体" w:cs="宋体"/>
                <w:sz w:val="24"/>
                <w:lang w:val="en-US" w:eastAsia="zh-CN"/>
              </w:rPr>
              <w:t>获评省级城市公交行业创新发展优选项目</w:t>
            </w:r>
            <w:r>
              <w:rPr>
                <w:rFonts w:hint="eastAsia" w:ascii="宋体" w:hAnsi="宋体" w:cs="宋体"/>
                <w:sz w:val="24"/>
                <w:lang w:val="en-US" w:eastAsia="zh-CN"/>
              </w:rPr>
              <w:t>后</w:t>
            </w:r>
            <w:r>
              <w:rPr>
                <w:rFonts w:hint="eastAsia" w:ascii="宋体" w:hAnsi="宋体" w:eastAsia="宋体" w:cs="宋体"/>
                <w:sz w:val="24"/>
                <w:lang w:val="en-US" w:eastAsia="zh-CN"/>
              </w:rPr>
              <w:t>，自有关获评通知公布之日起30个工作日内，采购人支付合同款80%。</w:t>
            </w:r>
          </w:p>
        </w:tc>
        <w:tc>
          <w:tcPr>
            <w:tcW w:w="2639" w:type="dxa"/>
            <w:vAlign w:val="center"/>
          </w:tcPr>
          <w:p>
            <w:pPr>
              <w:jc w:val="center"/>
            </w:pPr>
            <w:r>
              <w:rPr>
                <w:rFonts w:hint="eastAsia"/>
              </w:rPr>
              <w:t>□完全响应</w:t>
            </w:r>
          </w:p>
          <w:p>
            <w:pPr>
              <w:keepLines/>
              <w:widowControl/>
              <w:jc w:val="center"/>
              <w:rPr>
                <w:rFonts w:ascii="宋体" w:hAnsi="宋体" w:eastAsia="宋体" w:cs="Times New Roman"/>
                <w:bCs/>
                <w:kern w:val="2"/>
                <w:sz w:val="24"/>
                <w:szCs w:val="24"/>
                <w:lang w:val="en-US" w:eastAsia="zh-CN" w:bidi="ar-SA"/>
              </w:rPr>
            </w:pPr>
            <w:r>
              <w:rPr>
                <w:rFonts w:hint="eastAsia"/>
              </w:rPr>
              <w:t>□部分响应</w:t>
            </w:r>
          </w:p>
        </w:tc>
        <w:tc>
          <w:tcPr>
            <w:tcW w:w="1300" w:type="dxa"/>
          </w:tcPr>
          <w:p>
            <w:pPr>
              <w:pStyle w:val="8"/>
              <w:ind w:firstLine="0"/>
              <w:rPr>
                <w:rFonts w:hAnsi="宋体" w:cs="宋体"/>
                <w:bCs/>
                <w:sz w:val="24"/>
                <w:szCs w:val="24"/>
              </w:rPr>
            </w:pPr>
          </w:p>
        </w:tc>
        <w:tc>
          <w:tcPr>
            <w:tcW w:w="1372" w:type="dxa"/>
          </w:tcPr>
          <w:p>
            <w:pPr>
              <w:pStyle w:val="8"/>
              <w:ind w:firstLine="0"/>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rPr>
            </w:pPr>
            <w:r>
              <w:rPr>
                <w:rFonts w:hint="eastAsia" w:ascii="宋体" w:hAnsi="宋体"/>
                <w:bCs/>
                <w:sz w:val="24"/>
              </w:rPr>
              <w:t>4</w:t>
            </w:r>
          </w:p>
        </w:tc>
        <w:tc>
          <w:tcPr>
            <w:tcW w:w="3055" w:type="dxa"/>
            <w:vAlign w:val="center"/>
          </w:tcPr>
          <w:p>
            <w:pPr>
              <w:keepLines/>
              <w:widowControl/>
              <w:jc w:val="left"/>
              <w:rPr>
                <w:rFonts w:ascii="宋体" w:hAnsi="宋体"/>
                <w:bCs/>
                <w:sz w:val="24"/>
              </w:rPr>
            </w:pPr>
            <w:r>
              <w:rPr>
                <w:rFonts w:hint="eastAsia" w:ascii="宋体" w:hAnsi="宋体" w:eastAsia="宋体" w:cs="宋体"/>
                <w:sz w:val="24"/>
                <w:lang w:val="en-US" w:eastAsia="zh-CN"/>
              </w:rPr>
              <w:t>申请合同款时，需满足</w:t>
            </w:r>
            <w:r>
              <w:rPr>
                <w:rFonts w:hint="eastAsia" w:ascii="宋体" w:hAnsi="宋体" w:cs="宋体"/>
                <w:sz w:val="24"/>
                <w:lang w:val="en-US" w:eastAsia="zh-CN"/>
              </w:rPr>
              <w:t>上述</w:t>
            </w:r>
            <w:r>
              <w:rPr>
                <w:rFonts w:hint="eastAsia" w:ascii="宋体" w:hAnsi="宋体" w:eastAsia="宋体" w:cs="宋体"/>
                <w:sz w:val="24"/>
                <w:lang w:val="en-US" w:eastAsia="zh-CN"/>
              </w:rPr>
              <w:t>对应结算条件且开具同等金额的发票给采购人。</w:t>
            </w:r>
          </w:p>
        </w:tc>
        <w:tc>
          <w:tcPr>
            <w:tcW w:w="2639" w:type="dxa"/>
            <w:vAlign w:val="center"/>
          </w:tcPr>
          <w:p>
            <w:pPr>
              <w:jc w:val="center"/>
            </w:pPr>
            <w:r>
              <w:rPr>
                <w:rFonts w:hint="eastAsia"/>
              </w:rPr>
              <w:t>□完全响应</w:t>
            </w:r>
          </w:p>
          <w:p>
            <w:pPr>
              <w:keepLines/>
              <w:widowControl/>
              <w:jc w:val="center"/>
              <w:rPr>
                <w:rFonts w:ascii="宋体" w:hAnsi="宋体" w:eastAsia="宋体" w:cs="Times New Roman"/>
                <w:bCs/>
                <w:kern w:val="2"/>
                <w:sz w:val="24"/>
                <w:szCs w:val="24"/>
                <w:lang w:val="en-US" w:eastAsia="zh-CN" w:bidi="ar-SA"/>
              </w:rPr>
            </w:pPr>
            <w:r>
              <w:rPr>
                <w:rFonts w:hint="eastAsia"/>
              </w:rPr>
              <w:t>□部分响应</w:t>
            </w:r>
          </w:p>
        </w:tc>
        <w:tc>
          <w:tcPr>
            <w:tcW w:w="1300" w:type="dxa"/>
          </w:tcPr>
          <w:p>
            <w:pPr>
              <w:pStyle w:val="8"/>
              <w:ind w:firstLine="0"/>
              <w:rPr>
                <w:rFonts w:hAnsi="宋体" w:cs="宋体"/>
                <w:bCs/>
                <w:sz w:val="24"/>
                <w:szCs w:val="24"/>
              </w:rPr>
            </w:pPr>
          </w:p>
        </w:tc>
        <w:tc>
          <w:tcPr>
            <w:tcW w:w="1372" w:type="dxa"/>
          </w:tcPr>
          <w:p>
            <w:pPr>
              <w:pStyle w:val="8"/>
              <w:ind w:firstLine="0"/>
              <w:rPr>
                <w:rFonts w:hAnsi="宋体" w:cs="宋体"/>
                <w:bCs/>
                <w:sz w:val="24"/>
                <w:szCs w:val="24"/>
              </w:rPr>
            </w:pPr>
          </w:p>
        </w:tc>
      </w:tr>
    </w:tbl>
    <w:p>
      <w:pPr>
        <w:pStyle w:val="8"/>
        <w:spacing w:before="240" w:beforeLines="100" w:line="360" w:lineRule="auto"/>
        <w:ind w:firstLine="0"/>
        <w:rPr>
          <w:rFonts w:hAnsi="宋体"/>
          <w:sz w:val="24"/>
          <w:szCs w:val="24"/>
        </w:rPr>
      </w:pPr>
      <w:r>
        <w:rPr>
          <w:rFonts w:hint="eastAsia" w:hAnsi="宋体"/>
          <w:sz w:val="24"/>
          <w:szCs w:val="24"/>
        </w:rPr>
        <w:t>说明：</w:t>
      </w:r>
    </w:p>
    <w:p>
      <w:pPr>
        <w:pStyle w:val="8"/>
        <w:numPr>
          <w:ilvl w:val="0"/>
          <w:numId w:val="10"/>
        </w:numPr>
        <w:spacing w:line="360" w:lineRule="auto"/>
        <w:ind w:firstLine="480" w:firstLineChars="200"/>
        <w:rPr>
          <w:rFonts w:hAnsi="宋体"/>
          <w:bCs/>
          <w:sz w:val="24"/>
          <w:szCs w:val="24"/>
        </w:rPr>
      </w:pPr>
      <w:r>
        <w:rPr>
          <w:rFonts w:hint="eastAsia" w:hAnsi="宋体"/>
          <w:sz w:val="24"/>
          <w:szCs w:val="24"/>
        </w:rPr>
        <w:t>“参评文件响应情况”应填写供应商的具体承诺，如果供应商承诺完全按照采购文件规定执行的，也可以填写“完全按照采购文件规定执行”；“</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供应商须真实体现偏离情况。其中正偏离是指参评文件需求承诺优于（指对采购人有利）采购文件所规定的需求要求内容；负偏离是指参评文件需求承诺劣于（指对采购人不利）采购文件所规定的需求要求内容。</w:t>
      </w:r>
    </w:p>
    <w:p>
      <w:pPr>
        <w:pStyle w:val="8"/>
        <w:numPr>
          <w:ilvl w:val="0"/>
          <w:numId w:val="10"/>
        </w:numPr>
        <w:spacing w:line="360" w:lineRule="auto"/>
        <w:ind w:firstLine="480" w:firstLineChars="200"/>
        <w:rPr>
          <w:rFonts w:hAnsi="宋体"/>
          <w:bCs/>
          <w:sz w:val="24"/>
          <w:szCs w:val="24"/>
        </w:rPr>
      </w:pPr>
      <w:r>
        <w:rPr>
          <w:rFonts w:hint="eastAsia" w:hAnsi="宋体"/>
          <w:bCs/>
          <w:sz w:val="24"/>
          <w:szCs w:val="24"/>
        </w:rPr>
        <w:t>没有在上表中逐一响应的，视作参评供应商不同意承诺按照采购文件要求履行，该项需求要求的偏离情况视为负偏离。若在参评文件其它地方有具体、明确陈述的，以该地方的说明为准，并视说明的情况判断该项需求要求的偏离情况。</w:t>
      </w:r>
    </w:p>
    <w:p>
      <w:pPr>
        <w:pStyle w:val="8"/>
        <w:spacing w:line="360" w:lineRule="auto"/>
        <w:ind w:firstLine="0"/>
        <w:rPr>
          <w:rFonts w:hAnsi="宋体"/>
          <w:bCs/>
          <w:sz w:val="24"/>
          <w:szCs w:val="24"/>
        </w:rPr>
      </w:pPr>
    </w:p>
    <w:p>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lang w:val="en-US" w:eastAsia="zh-CN"/>
        </w:rPr>
        <w:t>参评</w:t>
      </w:r>
      <w:r>
        <w:rPr>
          <w:rFonts w:hint="eastAsia" w:ascii="宋体" w:hAnsi="宋体"/>
          <w:sz w:val="24"/>
        </w:rPr>
        <w:t>供应商（盖章）：</w:t>
      </w:r>
      <w:r>
        <w:rPr>
          <w:rFonts w:hint="eastAsia" w:ascii="宋体" w:hAnsi="宋体"/>
          <w:sz w:val="24"/>
          <w:u w:val="single"/>
        </w:rPr>
        <w:t xml:space="preserve">                        </w:t>
      </w:r>
    </w:p>
    <w:p>
      <w:pPr>
        <w:pStyle w:val="44"/>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2"/>
        <w:spacing w:line="560" w:lineRule="exact"/>
        <w:rPr>
          <w:rFonts w:hint="eastAsia" w:ascii="宋体" w:hAnsi="宋体" w:eastAsia="宋体" w:cs="宋体"/>
          <w:sz w:val="24"/>
          <w:szCs w:val="24"/>
          <w:lang w:val="en-US" w:eastAsia="zh-CN"/>
        </w:rPr>
      </w:pPr>
    </w:p>
    <w:sectPr>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E3CED"/>
    <w:multiLevelType w:val="singleLevel"/>
    <w:tmpl w:val="883E3CED"/>
    <w:lvl w:ilvl="0" w:tentative="0">
      <w:start w:val="1"/>
      <w:numFmt w:val="chineseCounting"/>
      <w:suff w:val="nothing"/>
      <w:lvlText w:val="%1、"/>
      <w:lvlJc w:val="left"/>
      <w:pPr>
        <w:ind w:left="0" w:firstLine="420"/>
      </w:pPr>
      <w:rPr>
        <w:rFonts w:hint="eastAsia"/>
      </w:rPr>
    </w:lvl>
  </w:abstractNum>
  <w:abstractNum w:abstractNumId="1">
    <w:nsid w:val="AEF38BD6"/>
    <w:multiLevelType w:val="singleLevel"/>
    <w:tmpl w:val="AEF38BD6"/>
    <w:lvl w:ilvl="0" w:tentative="0">
      <w:start w:val="1"/>
      <w:numFmt w:val="chineseCounting"/>
      <w:suff w:val="nothing"/>
      <w:lvlText w:val="（%1）"/>
      <w:lvlJc w:val="left"/>
      <w:pPr>
        <w:ind w:left="0" w:firstLine="420"/>
      </w:pPr>
      <w:rPr>
        <w:rFonts w:hint="eastAsia"/>
        <w:b w:val="0"/>
        <w:bCs w:val="0"/>
      </w:rPr>
    </w:lvl>
  </w:abstractNum>
  <w:abstractNum w:abstractNumId="2">
    <w:nsid w:val="C0141A44"/>
    <w:multiLevelType w:val="singleLevel"/>
    <w:tmpl w:val="C0141A44"/>
    <w:lvl w:ilvl="0" w:tentative="0">
      <w:start w:val="1"/>
      <w:numFmt w:val="decimal"/>
      <w:suff w:val="nothing"/>
      <w:lvlText w:val="%1、"/>
      <w:lvlJc w:val="left"/>
    </w:lvl>
  </w:abstractNum>
  <w:abstractNum w:abstractNumId="3">
    <w:nsid w:val="FD1B22AC"/>
    <w:multiLevelType w:val="singleLevel"/>
    <w:tmpl w:val="FD1B22AC"/>
    <w:lvl w:ilvl="0" w:tentative="0">
      <w:start w:val="1"/>
      <w:numFmt w:val="chineseCounting"/>
      <w:suff w:val="nothing"/>
      <w:lvlText w:val="（%1）"/>
      <w:lvlJc w:val="left"/>
      <w:pPr>
        <w:ind w:left="0" w:firstLine="420"/>
      </w:pPr>
      <w:rPr>
        <w:rFonts w:hint="eastAsia"/>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1F639B30"/>
    <w:multiLevelType w:val="singleLevel"/>
    <w:tmpl w:val="1F639B30"/>
    <w:lvl w:ilvl="0" w:tentative="0">
      <w:start w:val="1"/>
      <w:numFmt w:val="chineseCounting"/>
      <w:suff w:val="nothing"/>
      <w:lvlText w:val="（%1）"/>
      <w:lvlJc w:val="left"/>
      <w:pPr>
        <w:ind w:left="0" w:firstLine="420"/>
      </w:pPr>
      <w:rPr>
        <w:rFonts w:hint="eastAsia"/>
      </w:rPr>
    </w:lvl>
  </w:abstractNum>
  <w:abstractNum w:abstractNumId="6">
    <w:nsid w:val="42126C07"/>
    <w:multiLevelType w:val="singleLevel"/>
    <w:tmpl w:val="42126C07"/>
    <w:lvl w:ilvl="0" w:tentative="0">
      <w:start w:val="1"/>
      <w:numFmt w:val="chineseCounting"/>
      <w:suff w:val="nothing"/>
      <w:lvlText w:val="（%1）"/>
      <w:lvlJc w:val="left"/>
      <w:pPr>
        <w:ind w:left="0" w:firstLine="420"/>
      </w:pPr>
      <w:rPr>
        <w:rFonts w:hint="eastAsia"/>
      </w:rPr>
    </w:lvl>
  </w:abstractNum>
  <w:abstractNum w:abstractNumId="7">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9">
    <w:nsid w:val="5AFFD22A"/>
    <w:multiLevelType w:val="singleLevel"/>
    <w:tmpl w:val="5AFFD22A"/>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NTBjY2NjMDcyMjcwZTFjNWJmNmZkNGE1YzIwYTYifQ=="/>
    <w:docVar w:name="KSO_WPS_MARK_KEY" w:val="73c939c1-a602-45b0-af69-6c2c8778f4a7"/>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8E09C7"/>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9562D6"/>
    <w:rsid w:val="02A527D9"/>
    <w:rsid w:val="02C23FDF"/>
    <w:rsid w:val="02C53D7C"/>
    <w:rsid w:val="02D45384"/>
    <w:rsid w:val="02D47B30"/>
    <w:rsid w:val="02E53A66"/>
    <w:rsid w:val="02E9454E"/>
    <w:rsid w:val="03074050"/>
    <w:rsid w:val="03173D0F"/>
    <w:rsid w:val="036E530E"/>
    <w:rsid w:val="037C3748"/>
    <w:rsid w:val="03980F58"/>
    <w:rsid w:val="03A53C9A"/>
    <w:rsid w:val="03BD46AF"/>
    <w:rsid w:val="03D434B0"/>
    <w:rsid w:val="03E906EE"/>
    <w:rsid w:val="03EB4E90"/>
    <w:rsid w:val="04241E73"/>
    <w:rsid w:val="04262995"/>
    <w:rsid w:val="042B5724"/>
    <w:rsid w:val="0433107A"/>
    <w:rsid w:val="043D0974"/>
    <w:rsid w:val="043D09D3"/>
    <w:rsid w:val="04690C9B"/>
    <w:rsid w:val="04D2377E"/>
    <w:rsid w:val="04D24BD5"/>
    <w:rsid w:val="04F1742A"/>
    <w:rsid w:val="04FC5E0B"/>
    <w:rsid w:val="05257385"/>
    <w:rsid w:val="052E22E8"/>
    <w:rsid w:val="05347706"/>
    <w:rsid w:val="05435A52"/>
    <w:rsid w:val="05472224"/>
    <w:rsid w:val="055D4226"/>
    <w:rsid w:val="05BE1387"/>
    <w:rsid w:val="05D512D9"/>
    <w:rsid w:val="05D62F98"/>
    <w:rsid w:val="05D7205D"/>
    <w:rsid w:val="05F06675"/>
    <w:rsid w:val="05F36725"/>
    <w:rsid w:val="05F97E1E"/>
    <w:rsid w:val="05FC5F6C"/>
    <w:rsid w:val="05FF3E62"/>
    <w:rsid w:val="05FF5242"/>
    <w:rsid w:val="061A28B5"/>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74295E"/>
    <w:rsid w:val="07B25FDA"/>
    <w:rsid w:val="07B551BD"/>
    <w:rsid w:val="07BC4774"/>
    <w:rsid w:val="07C5140B"/>
    <w:rsid w:val="07D141F8"/>
    <w:rsid w:val="07D26C76"/>
    <w:rsid w:val="081630AE"/>
    <w:rsid w:val="083E2775"/>
    <w:rsid w:val="084D157A"/>
    <w:rsid w:val="08611CE7"/>
    <w:rsid w:val="086766A0"/>
    <w:rsid w:val="086C1CAF"/>
    <w:rsid w:val="086F4BF2"/>
    <w:rsid w:val="08734B0F"/>
    <w:rsid w:val="088913D5"/>
    <w:rsid w:val="08E13BA5"/>
    <w:rsid w:val="08EF12F5"/>
    <w:rsid w:val="08F37C0A"/>
    <w:rsid w:val="08FE2B4C"/>
    <w:rsid w:val="0902108A"/>
    <w:rsid w:val="091D6D2A"/>
    <w:rsid w:val="0934428C"/>
    <w:rsid w:val="09364775"/>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81361B"/>
    <w:rsid w:val="0AA64848"/>
    <w:rsid w:val="0AB038FA"/>
    <w:rsid w:val="0AB42826"/>
    <w:rsid w:val="0ACE526C"/>
    <w:rsid w:val="0ACF685A"/>
    <w:rsid w:val="0ADD0260"/>
    <w:rsid w:val="0B1378FA"/>
    <w:rsid w:val="0B176497"/>
    <w:rsid w:val="0B210255"/>
    <w:rsid w:val="0B627B1C"/>
    <w:rsid w:val="0B7569DD"/>
    <w:rsid w:val="0B9F3D44"/>
    <w:rsid w:val="0BDC6240"/>
    <w:rsid w:val="0C470E4E"/>
    <w:rsid w:val="0C567B94"/>
    <w:rsid w:val="0C5A35C8"/>
    <w:rsid w:val="0C724156"/>
    <w:rsid w:val="0C961F39"/>
    <w:rsid w:val="0C9944E5"/>
    <w:rsid w:val="0CAB7001"/>
    <w:rsid w:val="0CAD5F38"/>
    <w:rsid w:val="0CB908B9"/>
    <w:rsid w:val="0CB9349C"/>
    <w:rsid w:val="0CD043B5"/>
    <w:rsid w:val="0CD64A3A"/>
    <w:rsid w:val="0CDB39AB"/>
    <w:rsid w:val="0CEB118D"/>
    <w:rsid w:val="0CFD1647"/>
    <w:rsid w:val="0D0F1ED1"/>
    <w:rsid w:val="0D153DDC"/>
    <w:rsid w:val="0D1D57DC"/>
    <w:rsid w:val="0D1E7B48"/>
    <w:rsid w:val="0D277310"/>
    <w:rsid w:val="0D5200A9"/>
    <w:rsid w:val="0D5B02E4"/>
    <w:rsid w:val="0D766F90"/>
    <w:rsid w:val="0D9711B2"/>
    <w:rsid w:val="0DB85AC4"/>
    <w:rsid w:val="0DCB4048"/>
    <w:rsid w:val="0DD72AB2"/>
    <w:rsid w:val="0DDA5B01"/>
    <w:rsid w:val="0DFE43DA"/>
    <w:rsid w:val="0E21634A"/>
    <w:rsid w:val="0E245870"/>
    <w:rsid w:val="0E383782"/>
    <w:rsid w:val="0E54482E"/>
    <w:rsid w:val="0E8A0880"/>
    <w:rsid w:val="0E8D724C"/>
    <w:rsid w:val="0E8F0D2E"/>
    <w:rsid w:val="0E9111D2"/>
    <w:rsid w:val="0E91595E"/>
    <w:rsid w:val="0EB649B2"/>
    <w:rsid w:val="0EC71BEC"/>
    <w:rsid w:val="0ED23EEC"/>
    <w:rsid w:val="0F032F6F"/>
    <w:rsid w:val="0F044E3A"/>
    <w:rsid w:val="0F055CCB"/>
    <w:rsid w:val="0F0B351D"/>
    <w:rsid w:val="0F1A4731"/>
    <w:rsid w:val="0F7F147A"/>
    <w:rsid w:val="0F8D58B3"/>
    <w:rsid w:val="0F952B52"/>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7C31B9"/>
    <w:rsid w:val="12854024"/>
    <w:rsid w:val="12890952"/>
    <w:rsid w:val="12AF7C20"/>
    <w:rsid w:val="12FB128B"/>
    <w:rsid w:val="133867D5"/>
    <w:rsid w:val="1354218C"/>
    <w:rsid w:val="136C78B1"/>
    <w:rsid w:val="13A37C7E"/>
    <w:rsid w:val="13B50586"/>
    <w:rsid w:val="13C27156"/>
    <w:rsid w:val="14131A4D"/>
    <w:rsid w:val="14172225"/>
    <w:rsid w:val="142B7F7D"/>
    <w:rsid w:val="14424B94"/>
    <w:rsid w:val="1448764C"/>
    <w:rsid w:val="146E1654"/>
    <w:rsid w:val="146F42CC"/>
    <w:rsid w:val="147F2942"/>
    <w:rsid w:val="14884750"/>
    <w:rsid w:val="14AD4E44"/>
    <w:rsid w:val="14CA0D90"/>
    <w:rsid w:val="14E821D0"/>
    <w:rsid w:val="14EA4831"/>
    <w:rsid w:val="14EE2851"/>
    <w:rsid w:val="15000592"/>
    <w:rsid w:val="15170445"/>
    <w:rsid w:val="151B37F7"/>
    <w:rsid w:val="15316EAD"/>
    <w:rsid w:val="154D1B14"/>
    <w:rsid w:val="154F680F"/>
    <w:rsid w:val="15875F52"/>
    <w:rsid w:val="15A33AAA"/>
    <w:rsid w:val="15BD57B5"/>
    <w:rsid w:val="15C40A69"/>
    <w:rsid w:val="15CE3D48"/>
    <w:rsid w:val="163312FC"/>
    <w:rsid w:val="163D7C22"/>
    <w:rsid w:val="16690925"/>
    <w:rsid w:val="167563A8"/>
    <w:rsid w:val="16AE6042"/>
    <w:rsid w:val="16C57731"/>
    <w:rsid w:val="16CC5793"/>
    <w:rsid w:val="16FC3E17"/>
    <w:rsid w:val="170A5B08"/>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316838"/>
    <w:rsid w:val="19484078"/>
    <w:rsid w:val="195B7EBD"/>
    <w:rsid w:val="1960646A"/>
    <w:rsid w:val="19654D59"/>
    <w:rsid w:val="196F4069"/>
    <w:rsid w:val="19891909"/>
    <w:rsid w:val="199C5DC6"/>
    <w:rsid w:val="19AC5E26"/>
    <w:rsid w:val="19D87C3F"/>
    <w:rsid w:val="19E15BC1"/>
    <w:rsid w:val="1A184016"/>
    <w:rsid w:val="1A217292"/>
    <w:rsid w:val="1A253E7A"/>
    <w:rsid w:val="1A5307EE"/>
    <w:rsid w:val="1A6D79F3"/>
    <w:rsid w:val="1A736B05"/>
    <w:rsid w:val="1A765907"/>
    <w:rsid w:val="1AA27163"/>
    <w:rsid w:val="1AAA4644"/>
    <w:rsid w:val="1AB5056A"/>
    <w:rsid w:val="1AC8598D"/>
    <w:rsid w:val="1ACF439A"/>
    <w:rsid w:val="1AE17584"/>
    <w:rsid w:val="1AE24E3B"/>
    <w:rsid w:val="1B0F7662"/>
    <w:rsid w:val="1B2F01F7"/>
    <w:rsid w:val="1B807457"/>
    <w:rsid w:val="1B832885"/>
    <w:rsid w:val="1B952E18"/>
    <w:rsid w:val="1BAD4107"/>
    <w:rsid w:val="1BB10A56"/>
    <w:rsid w:val="1C1B17CC"/>
    <w:rsid w:val="1C35198D"/>
    <w:rsid w:val="1C3A1777"/>
    <w:rsid w:val="1C3B0523"/>
    <w:rsid w:val="1C3B7E7E"/>
    <w:rsid w:val="1C4933F0"/>
    <w:rsid w:val="1C626417"/>
    <w:rsid w:val="1C747680"/>
    <w:rsid w:val="1C9212EB"/>
    <w:rsid w:val="1C991EF3"/>
    <w:rsid w:val="1CAE4C75"/>
    <w:rsid w:val="1CB97042"/>
    <w:rsid w:val="1CC50B01"/>
    <w:rsid w:val="1CD8293B"/>
    <w:rsid w:val="1CDA33E7"/>
    <w:rsid w:val="1CEF43E3"/>
    <w:rsid w:val="1D0A2E3C"/>
    <w:rsid w:val="1D1711DB"/>
    <w:rsid w:val="1D30010B"/>
    <w:rsid w:val="1D492FA7"/>
    <w:rsid w:val="1D4F721C"/>
    <w:rsid w:val="1D706434"/>
    <w:rsid w:val="1D77798B"/>
    <w:rsid w:val="1DA63EF4"/>
    <w:rsid w:val="1DC81A3C"/>
    <w:rsid w:val="1DF76DD6"/>
    <w:rsid w:val="1E324B0D"/>
    <w:rsid w:val="1E3910A4"/>
    <w:rsid w:val="1E5F445F"/>
    <w:rsid w:val="1E696A14"/>
    <w:rsid w:val="1E990FDC"/>
    <w:rsid w:val="1EAD63D5"/>
    <w:rsid w:val="1EB04B98"/>
    <w:rsid w:val="1EC11295"/>
    <w:rsid w:val="1EDC4BC7"/>
    <w:rsid w:val="1EE02710"/>
    <w:rsid w:val="1F1A719F"/>
    <w:rsid w:val="1F1B1D40"/>
    <w:rsid w:val="1F1C3EE6"/>
    <w:rsid w:val="1F4F1119"/>
    <w:rsid w:val="1F757258"/>
    <w:rsid w:val="1F761129"/>
    <w:rsid w:val="1F82305D"/>
    <w:rsid w:val="1F9C4CF0"/>
    <w:rsid w:val="1FA05471"/>
    <w:rsid w:val="1FAF5847"/>
    <w:rsid w:val="1FBC7C45"/>
    <w:rsid w:val="1FEC1CDB"/>
    <w:rsid w:val="20043A13"/>
    <w:rsid w:val="2009646C"/>
    <w:rsid w:val="201F50AB"/>
    <w:rsid w:val="20286BE7"/>
    <w:rsid w:val="202D7C49"/>
    <w:rsid w:val="205C55F5"/>
    <w:rsid w:val="206E4C87"/>
    <w:rsid w:val="20867976"/>
    <w:rsid w:val="2089713B"/>
    <w:rsid w:val="209B5B4C"/>
    <w:rsid w:val="20A02DD5"/>
    <w:rsid w:val="20A506EA"/>
    <w:rsid w:val="20A8265D"/>
    <w:rsid w:val="20C23B31"/>
    <w:rsid w:val="2108125A"/>
    <w:rsid w:val="21093CBF"/>
    <w:rsid w:val="211A1AC5"/>
    <w:rsid w:val="211E72B1"/>
    <w:rsid w:val="21591110"/>
    <w:rsid w:val="216633DA"/>
    <w:rsid w:val="216A2F14"/>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C722D1"/>
    <w:rsid w:val="23DE15D6"/>
    <w:rsid w:val="23F70BD0"/>
    <w:rsid w:val="23F877B1"/>
    <w:rsid w:val="23FA2EBA"/>
    <w:rsid w:val="24055D9A"/>
    <w:rsid w:val="2499073E"/>
    <w:rsid w:val="24C40DEC"/>
    <w:rsid w:val="24C47B4E"/>
    <w:rsid w:val="24ED0608"/>
    <w:rsid w:val="24EE2B98"/>
    <w:rsid w:val="24F51A50"/>
    <w:rsid w:val="24F717E5"/>
    <w:rsid w:val="25013871"/>
    <w:rsid w:val="250F7ADC"/>
    <w:rsid w:val="251A2EC1"/>
    <w:rsid w:val="252E0CD6"/>
    <w:rsid w:val="255F743F"/>
    <w:rsid w:val="257A5247"/>
    <w:rsid w:val="257A5BE4"/>
    <w:rsid w:val="257F2EC3"/>
    <w:rsid w:val="2599753F"/>
    <w:rsid w:val="25B95445"/>
    <w:rsid w:val="25C1365F"/>
    <w:rsid w:val="25DB357E"/>
    <w:rsid w:val="25E2074D"/>
    <w:rsid w:val="25E42F4C"/>
    <w:rsid w:val="25E73963"/>
    <w:rsid w:val="25F70039"/>
    <w:rsid w:val="261467FE"/>
    <w:rsid w:val="262E15FD"/>
    <w:rsid w:val="26425FFF"/>
    <w:rsid w:val="264B1906"/>
    <w:rsid w:val="264E4B97"/>
    <w:rsid w:val="264F033F"/>
    <w:rsid w:val="266A49FF"/>
    <w:rsid w:val="267723DF"/>
    <w:rsid w:val="26830FF4"/>
    <w:rsid w:val="268C2763"/>
    <w:rsid w:val="269665BD"/>
    <w:rsid w:val="269A103F"/>
    <w:rsid w:val="26B25CF2"/>
    <w:rsid w:val="26D20966"/>
    <w:rsid w:val="26D41885"/>
    <w:rsid w:val="26D62895"/>
    <w:rsid w:val="26D911BC"/>
    <w:rsid w:val="26EF7DFB"/>
    <w:rsid w:val="26F03D41"/>
    <w:rsid w:val="2704485B"/>
    <w:rsid w:val="27111275"/>
    <w:rsid w:val="271C0900"/>
    <w:rsid w:val="273B0E9F"/>
    <w:rsid w:val="273F6507"/>
    <w:rsid w:val="27482927"/>
    <w:rsid w:val="27550294"/>
    <w:rsid w:val="276C7196"/>
    <w:rsid w:val="278D4002"/>
    <w:rsid w:val="27983D43"/>
    <w:rsid w:val="27BF418D"/>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BE3F20"/>
    <w:rsid w:val="29CD6E0B"/>
    <w:rsid w:val="29DB7009"/>
    <w:rsid w:val="29E12779"/>
    <w:rsid w:val="29F274D9"/>
    <w:rsid w:val="29F54660"/>
    <w:rsid w:val="29FA5373"/>
    <w:rsid w:val="2A074834"/>
    <w:rsid w:val="2A1A4B90"/>
    <w:rsid w:val="2A6E077A"/>
    <w:rsid w:val="2A7C537A"/>
    <w:rsid w:val="2A8D0BC5"/>
    <w:rsid w:val="2A9D6489"/>
    <w:rsid w:val="2AAE5511"/>
    <w:rsid w:val="2B1F2251"/>
    <w:rsid w:val="2B3A611D"/>
    <w:rsid w:val="2B3A7863"/>
    <w:rsid w:val="2B4A23FD"/>
    <w:rsid w:val="2B5F4365"/>
    <w:rsid w:val="2B836CA6"/>
    <w:rsid w:val="2B857219"/>
    <w:rsid w:val="2B8E2A76"/>
    <w:rsid w:val="2B972B67"/>
    <w:rsid w:val="2BA41E8E"/>
    <w:rsid w:val="2BC82B5A"/>
    <w:rsid w:val="2BFF1B37"/>
    <w:rsid w:val="2C0F7423"/>
    <w:rsid w:val="2C2B19BA"/>
    <w:rsid w:val="2C442B0D"/>
    <w:rsid w:val="2C4C727A"/>
    <w:rsid w:val="2C6251CE"/>
    <w:rsid w:val="2C6B4037"/>
    <w:rsid w:val="2C715EFC"/>
    <w:rsid w:val="2C914439"/>
    <w:rsid w:val="2C95682C"/>
    <w:rsid w:val="2CA15966"/>
    <w:rsid w:val="2CB143C5"/>
    <w:rsid w:val="2CCF04B2"/>
    <w:rsid w:val="2CEF19AF"/>
    <w:rsid w:val="2D176EDB"/>
    <w:rsid w:val="2D2536DC"/>
    <w:rsid w:val="2D380720"/>
    <w:rsid w:val="2D3F4A4F"/>
    <w:rsid w:val="2D6A167A"/>
    <w:rsid w:val="2DB37418"/>
    <w:rsid w:val="2DCF110D"/>
    <w:rsid w:val="2E0010BE"/>
    <w:rsid w:val="2E065750"/>
    <w:rsid w:val="2E2703EA"/>
    <w:rsid w:val="2E632F3C"/>
    <w:rsid w:val="2E902765"/>
    <w:rsid w:val="2ECB42D1"/>
    <w:rsid w:val="2ECD0CBF"/>
    <w:rsid w:val="2EEE2F8B"/>
    <w:rsid w:val="2EFE112F"/>
    <w:rsid w:val="2F143137"/>
    <w:rsid w:val="2F2E713E"/>
    <w:rsid w:val="2F2F4078"/>
    <w:rsid w:val="2F3F511C"/>
    <w:rsid w:val="2F4F7689"/>
    <w:rsid w:val="2F642F4F"/>
    <w:rsid w:val="2F6E2E44"/>
    <w:rsid w:val="2F9766E3"/>
    <w:rsid w:val="2FE5271D"/>
    <w:rsid w:val="2FE74788"/>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AD57CE"/>
    <w:rsid w:val="31B12DC9"/>
    <w:rsid w:val="31B2630F"/>
    <w:rsid w:val="31B41A25"/>
    <w:rsid w:val="31E05B58"/>
    <w:rsid w:val="321C6ECD"/>
    <w:rsid w:val="322C317F"/>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273069"/>
    <w:rsid w:val="33335DC6"/>
    <w:rsid w:val="33342717"/>
    <w:rsid w:val="334D5D09"/>
    <w:rsid w:val="33532CCF"/>
    <w:rsid w:val="33543860"/>
    <w:rsid w:val="335833CC"/>
    <w:rsid w:val="33615080"/>
    <w:rsid w:val="338349BC"/>
    <w:rsid w:val="33B22E1C"/>
    <w:rsid w:val="33BA52ED"/>
    <w:rsid w:val="33F37670"/>
    <w:rsid w:val="33F61A2E"/>
    <w:rsid w:val="343245B1"/>
    <w:rsid w:val="347A0144"/>
    <w:rsid w:val="34855048"/>
    <w:rsid w:val="348A461C"/>
    <w:rsid w:val="349D7093"/>
    <w:rsid w:val="34A21994"/>
    <w:rsid w:val="34B1413D"/>
    <w:rsid w:val="34B46FD2"/>
    <w:rsid w:val="354924F4"/>
    <w:rsid w:val="357A4D33"/>
    <w:rsid w:val="357B023E"/>
    <w:rsid w:val="357D1B6A"/>
    <w:rsid w:val="35851A3A"/>
    <w:rsid w:val="35AB0D5C"/>
    <w:rsid w:val="35BE7F5D"/>
    <w:rsid w:val="35CC75E9"/>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7B3494"/>
    <w:rsid w:val="379850D3"/>
    <w:rsid w:val="379B2ED6"/>
    <w:rsid w:val="379D4EBE"/>
    <w:rsid w:val="37A30CFD"/>
    <w:rsid w:val="37A72FFE"/>
    <w:rsid w:val="37B254F5"/>
    <w:rsid w:val="37B26DB8"/>
    <w:rsid w:val="37D50473"/>
    <w:rsid w:val="37FE1E64"/>
    <w:rsid w:val="38203191"/>
    <w:rsid w:val="383E5D60"/>
    <w:rsid w:val="384D1B5D"/>
    <w:rsid w:val="385A0EAA"/>
    <w:rsid w:val="385D408A"/>
    <w:rsid w:val="386A6F5A"/>
    <w:rsid w:val="386B4E07"/>
    <w:rsid w:val="3881359D"/>
    <w:rsid w:val="3899362A"/>
    <w:rsid w:val="38B17492"/>
    <w:rsid w:val="38E974BC"/>
    <w:rsid w:val="38EF2E3F"/>
    <w:rsid w:val="38F75971"/>
    <w:rsid w:val="39183F7E"/>
    <w:rsid w:val="391C0FB5"/>
    <w:rsid w:val="392575C8"/>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91794"/>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8052D9"/>
    <w:rsid w:val="3B9B6C48"/>
    <w:rsid w:val="3BB20F3E"/>
    <w:rsid w:val="3BBF47C6"/>
    <w:rsid w:val="3BC1190E"/>
    <w:rsid w:val="3BD827B4"/>
    <w:rsid w:val="3C0579A8"/>
    <w:rsid w:val="3C161A03"/>
    <w:rsid w:val="3C234D80"/>
    <w:rsid w:val="3C3C5899"/>
    <w:rsid w:val="3C42681F"/>
    <w:rsid w:val="3C4532FD"/>
    <w:rsid w:val="3C4A29BE"/>
    <w:rsid w:val="3C8C7E74"/>
    <w:rsid w:val="3CB57ACA"/>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8B4B09"/>
    <w:rsid w:val="3DB0519A"/>
    <w:rsid w:val="3DB336B7"/>
    <w:rsid w:val="3DE2769F"/>
    <w:rsid w:val="3DF22B68"/>
    <w:rsid w:val="3E0A1BD2"/>
    <w:rsid w:val="3E0A6A1E"/>
    <w:rsid w:val="3E5F0DEE"/>
    <w:rsid w:val="3E653217"/>
    <w:rsid w:val="3E76449F"/>
    <w:rsid w:val="3E9C2E3E"/>
    <w:rsid w:val="3EA34E24"/>
    <w:rsid w:val="3ECF0B70"/>
    <w:rsid w:val="3ED56AED"/>
    <w:rsid w:val="3ED633E1"/>
    <w:rsid w:val="3EF07D44"/>
    <w:rsid w:val="3EF43037"/>
    <w:rsid w:val="3F0B4C4E"/>
    <w:rsid w:val="3F2809B7"/>
    <w:rsid w:val="3F5E51FF"/>
    <w:rsid w:val="3F6A5C45"/>
    <w:rsid w:val="3F8871E1"/>
    <w:rsid w:val="3FAA14AE"/>
    <w:rsid w:val="3FD61D7A"/>
    <w:rsid w:val="3FDF24E4"/>
    <w:rsid w:val="3FF104A5"/>
    <w:rsid w:val="3FF80758"/>
    <w:rsid w:val="4004706C"/>
    <w:rsid w:val="400E2F20"/>
    <w:rsid w:val="401D2496"/>
    <w:rsid w:val="403F697C"/>
    <w:rsid w:val="406A3F6F"/>
    <w:rsid w:val="40783708"/>
    <w:rsid w:val="40813CE0"/>
    <w:rsid w:val="409E52E9"/>
    <w:rsid w:val="40A01C85"/>
    <w:rsid w:val="40AA22DB"/>
    <w:rsid w:val="40BB7C11"/>
    <w:rsid w:val="410A457F"/>
    <w:rsid w:val="413B7ABC"/>
    <w:rsid w:val="41406D10"/>
    <w:rsid w:val="41441915"/>
    <w:rsid w:val="417B0F19"/>
    <w:rsid w:val="418A660C"/>
    <w:rsid w:val="419C3CC7"/>
    <w:rsid w:val="41B22D3C"/>
    <w:rsid w:val="41B57C77"/>
    <w:rsid w:val="41E33C60"/>
    <w:rsid w:val="41E869B7"/>
    <w:rsid w:val="41F36D58"/>
    <w:rsid w:val="41F73DDE"/>
    <w:rsid w:val="420D465A"/>
    <w:rsid w:val="4218005B"/>
    <w:rsid w:val="42224789"/>
    <w:rsid w:val="425129E2"/>
    <w:rsid w:val="425E32E0"/>
    <w:rsid w:val="42677A68"/>
    <w:rsid w:val="42A3119D"/>
    <w:rsid w:val="42C40F54"/>
    <w:rsid w:val="42C6780A"/>
    <w:rsid w:val="42EF6284"/>
    <w:rsid w:val="4311120E"/>
    <w:rsid w:val="433504EC"/>
    <w:rsid w:val="43382772"/>
    <w:rsid w:val="435B32FF"/>
    <w:rsid w:val="43694B99"/>
    <w:rsid w:val="438C4BC4"/>
    <w:rsid w:val="43940580"/>
    <w:rsid w:val="43AC6452"/>
    <w:rsid w:val="43C03369"/>
    <w:rsid w:val="43C91E50"/>
    <w:rsid w:val="43DA7FEE"/>
    <w:rsid w:val="440532AB"/>
    <w:rsid w:val="44382F71"/>
    <w:rsid w:val="444A2CAD"/>
    <w:rsid w:val="444E5E27"/>
    <w:rsid w:val="446115D1"/>
    <w:rsid w:val="44827761"/>
    <w:rsid w:val="44AE1A62"/>
    <w:rsid w:val="44C04765"/>
    <w:rsid w:val="44D904C5"/>
    <w:rsid w:val="44DA759D"/>
    <w:rsid w:val="452C0086"/>
    <w:rsid w:val="452E722C"/>
    <w:rsid w:val="45605633"/>
    <w:rsid w:val="456C3E29"/>
    <w:rsid w:val="45A315F0"/>
    <w:rsid w:val="45B953B2"/>
    <w:rsid w:val="45E8729D"/>
    <w:rsid w:val="45FA5263"/>
    <w:rsid w:val="46301BA0"/>
    <w:rsid w:val="46420936"/>
    <w:rsid w:val="46433596"/>
    <w:rsid w:val="46456F86"/>
    <w:rsid w:val="466510E8"/>
    <w:rsid w:val="46793B1E"/>
    <w:rsid w:val="46851570"/>
    <w:rsid w:val="46AF4AAD"/>
    <w:rsid w:val="472407E9"/>
    <w:rsid w:val="47372C35"/>
    <w:rsid w:val="47623D82"/>
    <w:rsid w:val="47805B8E"/>
    <w:rsid w:val="478A48A3"/>
    <w:rsid w:val="47AC2395"/>
    <w:rsid w:val="47AF4D11"/>
    <w:rsid w:val="47BC49C7"/>
    <w:rsid w:val="47C30FA3"/>
    <w:rsid w:val="47E32FBE"/>
    <w:rsid w:val="47E92D3B"/>
    <w:rsid w:val="47EA6E5B"/>
    <w:rsid w:val="47ED3CBC"/>
    <w:rsid w:val="47F70F9C"/>
    <w:rsid w:val="48010667"/>
    <w:rsid w:val="48103D65"/>
    <w:rsid w:val="481423AF"/>
    <w:rsid w:val="48802209"/>
    <w:rsid w:val="488E5E34"/>
    <w:rsid w:val="488F02E4"/>
    <w:rsid w:val="48E70F87"/>
    <w:rsid w:val="48FE718B"/>
    <w:rsid w:val="49172519"/>
    <w:rsid w:val="491931DD"/>
    <w:rsid w:val="491A21ED"/>
    <w:rsid w:val="492244A7"/>
    <w:rsid w:val="493A2D00"/>
    <w:rsid w:val="49647897"/>
    <w:rsid w:val="49743816"/>
    <w:rsid w:val="498C7290"/>
    <w:rsid w:val="49957340"/>
    <w:rsid w:val="49A20B9F"/>
    <w:rsid w:val="49EA2030"/>
    <w:rsid w:val="49F06669"/>
    <w:rsid w:val="49F20CC6"/>
    <w:rsid w:val="49FA026B"/>
    <w:rsid w:val="4A031138"/>
    <w:rsid w:val="4A04238F"/>
    <w:rsid w:val="4A0C378D"/>
    <w:rsid w:val="4A0C5CBC"/>
    <w:rsid w:val="4A1C2405"/>
    <w:rsid w:val="4A537429"/>
    <w:rsid w:val="4A5964DD"/>
    <w:rsid w:val="4A5B66ED"/>
    <w:rsid w:val="4A801718"/>
    <w:rsid w:val="4A807A85"/>
    <w:rsid w:val="4A866F35"/>
    <w:rsid w:val="4A995C7E"/>
    <w:rsid w:val="4A9B56ED"/>
    <w:rsid w:val="4AA61F8B"/>
    <w:rsid w:val="4AB82F3C"/>
    <w:rsid w:val="4ABA40F8"/>
    <w:rsid w:val="4AC715A1"/>
    <w:rsid w:val="4ACF3ABF"/>
    <w:rsid w:val="4AD17F53"/>
    <w:rsid w:val="4AD44683"/>
    <w:rsid w:val="4B2042C9"/>
    <w:rsid w:val="4B4A7D1A"/>
    <w:rsid w:val="4B5C2027"/>
    <w:rsid w:val="4B7F2A23"/>
    <w:rsid w:val="4B8A33E0"/>
    <w:rsid w:val="4B9767A4"/>
    <w:rsid w:val="4BAA597C"/>
    <w:rsid w:val="4BC11CC6"/>
    <w:rsid w:val="4BEE3A62"/>
    <w:rsid w:val="4C045231"/>
    <w:rsid w:val="4C187FDE"/>
    <w:rsid w:val="4C1A02F6"/>
    <w:rsid w:val="4C232345"/>
    <w:rsid w:val="4C3C4BA4"/>
    <w:rsid w:val="4C541AA8"/>
    <w:rsid w:val="4C5432D9"/>
    <w:rsid w:val="4C576ECB"/>
    <w:rsid w:val="4C7A183F"/>
    <w:rsid w:val="4C85706A"/>
    <w:rsid w:val="4C885E9F"/>
    <w:rsid w:val="4C8E5FF6"/>
    <w:rsid w:val="4CA57814"/>
    <w:rsid w:val="4CB070AF"/>
    <w:rsid w:val="4CB4456A"/>
    <w:rsid w:val="4CBC5F6C"/>
    <w:rsid w:val="4CC71203"/>
    <w:rsid w:val="4CD70354"/>
    <w:rsid w:val="4D0F01CA"/>
    <w:rsid w:val="4D171E27"/>
    <w:rsid w:val="4D1D271C"/>
    <w:rsid w:val="4D330863"/>
    <w:rsid w:val="4D3E6A52"/>
    <w:rsid w:val="4D5F73FC"/>
    <w:rsid w:val="4D6F3140"/>
    <w:rsid w:val="4D833619"/>
    <w:rsid w:val="4D9C08E0"/>
    <w:rsid w:val="4DB946E5"/>
    <w:rsid w:val="4DC85592"/>
    <w:rsid w:val="4DC974FC"/>
    <w:rsid w:val="4DCA2651"/>
    <w:rsid w:val="4DCE5F5F"/>
    <w:rsid w:val="4DEA49EA"/>
    <w:rsid w:val="4DEC33FC"/>
    <w:rsid w:val="4E063825"/>
    <w:rsid w:val="4E0A1EFC"/>
    <w:rsid w:val="4E3113F2"/>
    <w:rsid w:val="4E455504"/>
    <w:rsid w:val="4E7E543D"/>
    <w:rsid w:val="4E823055"/>
    <w:rsid w:val="4E8E5E30"/>
    <w:rsid w:val="4E98704C"/>
    <w:rsid w:val="4EA46CF7"/>
    <w:rsid w:val="4EB262C0"/>
    <w:rsid w:val="4EB33649"/>
    <w:rsid w:val="4EDC533F"/>
    <w:rsid w:val="4EEF0743"/>
    <w:rsid w:val="4EFD4933"/>
    <w:rsid w:val="4F0F0F08"/>
    <w:rsid w:val="4F711134"/>
    <w:rsid w:val="4FB410AD"/>
    <w:rsid w:val="4FFF539C"/>
    <w:rsid w:val="5006529A"/>
    <w:rsid w:val="500C7AB9"/>
    <w:rsid w:val="50110D78"/>
    <w:rsid w:val="50231AA3"/>
    <w:rsid w:val="504A2ADD"/>
    <w:rsid w:val="5060304C"/>
    <w:rsid w:val="5061724C"/>
    <w:rsid w:val="5084554B"/>
    <w:rsid w:val="50AA36E0"/>
    <w:rsid w:val="50AE6606"/>
    <w:rsid w:val="50E63666"/>
    <w:rsid w:val="50EC3059"/>
    <w:rsid w:val="519611B1"/>
    <w:rsid w:val="51C92E73"/>
    <w:rsid w:val="52161328"/>
    <w:rsid w:val="522C54FE"/>
    <w:rsid w:val="523E3D8C"/>
    <w:rsid w:val="524A4C06"/>
    <w:rsid w:val="525B5AA9"/>
    <w:rsid w:val="52603955"/>
    <w:rsid w:val="52972888"/>
    <w:rsid w:val="52AB2167"/>
    <w:rsid w:val="52AC506F"/>
    <w:rsid w:val="52CC3259"/>
    <w:rsid w:val="52DC7ADA"/>
    <w:rsid w:val="52EE16A6"/>
    <w:rsid w:val="52EE4555"/>
    <w:rsid w:val="530F7F4A"/>
    <w:rsid w:val="5311478A"/>
    <w:rsid w:val="535449BE"/>
    <w:rsid w:val="53580116"/>
    <w:rsid w:val="53716767"/>
    <w:rsid w:val="53765375"/>
    <w:rsid w:val="53A7323B"/>
    <w:rsid w:val="53B44984"/>
    <w:rsid w:val="53B73D24"/>
    <w:rsid w:val="53DE30B3"/>
    <w:rsid w:val="53E82400"/>
    <w:rsid w:val="53F5446E"/>
    <w:rsid w:val="541115C4"/>
    <w:rsid w:val="54136D7C"/>
    <w:rsid w:val="54421842"/>
    <w:rsid w:val="54566DBB"/>
    <w:rsid w:val="54697F44"/>
    <w:rsid w:val="546F7B53"/>
    <w:rsid w:val="54783BB9"/>
    <w:rsid w:val="54DC4C6B"/>
    <w:rsid w:val="54E0593D"/>
    <w:rsid w:val="551C775D"/>
    <w:rsid w:val="553F0A67"/>
    <w:rsid w:val="55402FB8"/>
    <w:rsid w:val="554C055D"/>
    <w:rsid w:val="555464AA"/>
    <w:rsid w:val="555962BC"/>
    <w:rsid w:val="555A05A2"/>
    <w:rsid w:val="558C794A"/>
    <w:rsid w:val="55943D4D"/>
    <w:rsid w:val="55AD79E6"/>
    <w:rsid w:val="55DB4F23"/>
    <w:rsid w:val="55E52D00"/>
    <w:rsid w:val="55E71B19"/>
    <w:rsid w:val="55F20FAE"/>
    <w:rsid w:val="55F522DF"/>
    <w:rsid w:val="55FA65BB"/>
    <w:rsid w:val="560A616A"/>
    <w:rsid w:val="56291875"/>
    <w:rsid w:val="56292132"/>
    <w:rsid w:val="56300D4C"/>
    <w:rsid w:val="56364B97"/>
    <w:rsid w:val="565E5677"/>
    <w:rsid w:val="5699334B"/>
    <w:rsid w:val="56AB3033"/>
    <w:rsid w:val="56B819B5"/>
    <w:rsid w:val="56C90E1A"/>
    <w:rsid w:val="56D12FC4"/>
    <w:rsid w:val="56E224E3"/>
    <w:rsid w:val="56FC74AA"/>
    <w:rsid w:val="570539B2"/>
    <w:rsid w:val="571046EE"/>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9318F2"/>
    <w:rsid w:val="589755E4"/>
    <w:rsid w:val="58987A5C"/>
    <w:rsid w:val="58D06CE7"/>
    <w:rsid w:val="58D07D35"/>
    <w:rsid w:val="58DD0FB2"/>
    <w:rsid w:val="58EE7873"/>
    <w:rsid w:val="58EF2B3F"/>
    <w:rsid w:val="5915197D"/>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058A0"/>
    <w:rsid w:val="5AC103A3"/>
    <w:rsid w:val="5AD61C66"/>
    <w:rsid w:val="5ADB058E"/>
    <w:rsid w:val="5ADF702C"/>
    <w:rsid w:val="5AEF1D4A"/>
    <w:rsid w:val="5AF05C2A"/>
    <w:rsid w:val="5AF734FA"/>
    <w:rsid w:val="5B0C6127"/>
    <w:rsid w:val="5B1733CD"/>
    <w:rsid w:val="5B7244A9"/>
    <w:rsid w:val="5B7D0EE0"/>
    <w:rsid w:val="5B89037A"/>
    <w:rsid w:val="5B8C2493"/>
    <w:rsid w:val="5B94420C"/>
    <w:rsid w:val="5B995664"/>
    <w:rsid w:val="5B9F25CB"/>
    <w:rsid w:val="5B9F7E0E"/>
    <w:rsid w:val="5BD05618"/>
    <w:rsid w:val="5BE87EA3"/>
    <w:rsid w:val="5C1D46F3"/>
    <w:rsid w:val="5C244164"/>
    <w:rsid w:val="5C341852"/>
    <w:rsid w:val="5C8F56E5"/>
    <w:rsid w:val="5C9D5CFC"/>
    <w:rsid w:val="5CBC2899"/>
    <w:rsid w:val="5CCE4539"/>
    <w:rsid w:val="5D1B684A"/>
    <w:rsid w:val="5D25594A"/>
    <w:rsid w:val="5D353719"/>
    <w:rsid w:val="5D3C04A3"/>
    <w:rsid w:val="5D46671A"/>
    <w:rsid w:val="5D5061F6"/>
    <w:rsid w:val="5D7063F7"/>
    <w:rsid w:val="5D770DC5"/>
    <w:rsid w:val="5D8777FB"/>
    <w:rsid w:val="5D887595"/>
    <w:rsid w:val="5DA14140"/>
    <w:rsid w:val="5DA6621F"/>
    <w:rsid w:val="5DC6253E"/>
    <w:rsid w:val="5DF11AD5"/>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115E0"/>
    <w:rsid w:val="5FCA4D1B"/>
    <w:rsid w:val="5FDC09A4"/>
    <w:rsid w:val="5FF909F7"/>
    <w:rsid w:val="600A528D"/>
    <w:rsid w:val="602A462E"/>
    <w:rsid w:val="603A6A58"/>
    <w:rsid w:val="608A03D0"/>
    <w:rsid w:val="60A242F4"/>
    <w:rsid w:val="60AC1E47"/>
    <w:rsid w:val="60B04315"/>
    <w:rsid w:val="60C63929"/>
    <w:rsid w:val="60DF2C33"/>
    <w:rsid w:val="61063A07"/>
    <w:rsid w:val="610C47C1"/>
    <w:rsid w:val="61103B02"/>
    <w:rsid w:val="614131AE"/>
    <w:rsid w:val="61437985"/>
    <w:rsid w:val="61482F23"/>
    <w:rsid w:val="614B5418"/>
    <w:rsid w:val="615B0152"/>
    <w:rsid w:val="61651C78"/>
    <w:rsid w:val="616A4376"/>
    <w:rsid w:val="6177071C"/>
    <w:rsid w:val="618556EB"/>
    <w:rsid w:val="61914AE5"/>
    <w:rsid w:val="61920AE7"/>
    <w:rsid w:val="6194346A"/>
    <w:rsid w:val="61B9039E"/>
    <w:rsid w:val="61B96F1D"/>
    <w:rsid w:val="61BA6ED7"/>
    <w:rsid w:val="61C826FF"/>
    <w:rsid w:val="61CA4FBB"/>
    <w:rsid w:val="61DE6051"/>
    <w:rsid w:val="61E0487E"/>
    <w:rsid w:val="620E3238"/>
    <w:rsid w:val="62134A81"/>
    <w:rsid w:val="624219D4"/>
    <w:rsid w:val="624B31E8"/>
    <w:rsid w:val="625335A2"/>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DE3F51"/>
    <w:rsid w:val="63E7707E"/>
    <w:rsid w:val="63ED54FF"/>
    <w:rsid w:val="63EF12F1"/>
    <w:rsid w:val="64070F3B"/>
    <w:rsid w:val="640743AB"/>
    <w:rsid w:val="640A4811"/>
    <w:rsid w:val="642C4BC8"/>
    <w:rsid w:val="64407BFB"/>
    <w:rsid w:val="64580460"/>
    <w:rsid w:val="6468704A"/>
    <w:rsid w:val="64700C9D"/>
    <w:rsid w:val="647C1DB2"/>
    <w:rsid w:val="64B62D00"/>
    <w:rsid w:val="64C15C8A"/>
    <w:rsid w:val="64E8140A"/>
    <w:rsid w:val="64FB4868"/>
    <w:rsid w:val="64FB76AD"/>
    <w:rsid w:val="6508244C"/>
    <w:rsid w:val="650B2B24"/>
    <w:rsid w:val="65164170"/>
    <w:rsid w:val="651E2D4A"/>
    <w:rsid w:val="652C38CB"/>
    <w:rsid w:val="656D2AA1"/>
    <w:rsid w:val="657966D6"/>
    <w:rsid w:val="65905D2A"/>
    <w:rsid w:val="65C021EE"/>
    <w:rsid w:val="65ED42ED"/>
    <w:rsid w:val="663F2148"/>
    <w:rsid w:val="664416B7"/>
    <w:rsid w:val="66575A26"/>
    <w:rsid w:val="66651F0E"/>
    <w:rsid w:val="66664CDC"/>
    <w:rsid w:val="668F32F7"/>
    <w:rsid w:val="66912E15"/>
    <w:rsid w:val="6694143E"/>
    <w:rsid w:val="66C51580"/>
    <w:rsid w:val="66CD1258"/>
    <w:rsid w:val="66E6621D"/>
    <w:rsid w:val="66E666F9"/>
    <w:rsid w:val="670B532E"/>
    <w:rsid w:val="67133448"/>
    <w:rsid w:val="67203DB8"/>
    <w:rsid w:val="676270AE"/>
    <w:rsid w:val="677560D9"/>
    <w:rsid w:val="677769DB"/>
    <w:rsid w:val="67D82B17"/>
    <w:rsid w:val="67DB0582"/>
    <w:rsid w:val="684C2343"/>
    <w:rsid w:val="685013FC"/>
    <w:rsid w:val="6880754B"/>
    <w:rsid w:val="688478B7"/>
    <w:rsid w:val="68A313E9"/>
    <w:rsid w:val="68BE1513"/>
    <w:rsid w:val="691E1864"/>
    <w:rsid w:val="6945758D"/>
    <w:rsid w:val="695B08E4"/>
    <w:rsid w:val="695D7FEB"/>
    <w:rsid w:val="697A7BC6"/>
    <w:rsid w:val="69A17E74"/>
    <w:rsid w:val="69A736F2"/>
    <w:rsid w:val="6A6148DC"/>
    <w:rsid w:val="6A622CA8"/>
    <w:rsid w:val="6A6C4FB9"/>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3F0C30"/>
    <w:rsid w:val="6C4B6345"/>
    <w:rsid w:val="6C7A67A3"/>
    <w:rsid w:val="6CA56566"/>
    <w:rsid w:val="6CB6087E"/>
    <w:rsid w:val="6D005DA3"/>
    <w:rsid w:val="6D0E4BFD"/>
    <w:rsid w:val="6D830B7D"/>
    <w:rsid w:val="6D9914F3"/>
    <w:rsid w:val="6DD14EB6"/>
    <w:rsid w:val="6DE34C05"/>
    <w:rsid w:val="6E021E51"/>
    <w:rsid w:val="6E0779B6"/>
    <w:rsid w:val="6E3F02ED"/>
    <w:rsid w:val="6E44547D"/>
    <w:rsid w:val="6E5A3889"/>
    <w:rsid w:val="6E671002"/>
    <w:rsid w:val="6E866A33"/>
    <w:rsid w:val="6E96509E"/>
    <w:rsid w:val="6E9817E3"/>
    <w:rsid w:val="6ECA3397"/>
    <w:rsid w:val="6ED9448F"/>
    <w:rsid w:val="6EDA2090"/>
    <w:rsid w:val="6EE21295"/>
    <w:rsid w:val="6EF709D3"/>
    <w:rsid w:val="6EFE5D0F"/>
    <w:rsid w:val="6F0B7C94"/>
    <w:rsid w:val="6F227EA1"/>
    <w:rsid w:val="6F2F4126"/>
    <w:rsid w:val="6F396F64"/>
    <w:rsid w:val="6F4E06E1"/>
    <w:rsid w:val="6F516762"/>
    <w:rsid w:val="6F552462"/>
    <w:rsid w:val="6F6E5034"/>
    <w:rsid w:val="6F814D09"/>
    <w:rsid w:val="6FAD2D94"/>
    <w:rsid w:val="6FBF1882"/>
    <w:rsid w:val="6FC40412"/>
    <w:rsid w:val="6FC512C7"/>
    <w:rsid w:val="6FDD529B"/>
    <w:rsid w:val="6FF72C1C"/>
    <w:rsid w:val="704B27CA"/>
    <w:rsid w:val="70517453"/>
    <w:rsid w:val="70906757"/>
    <w:rsid w:val="70DC17CE"/>
    <w:rsid w:val="70EB650A"/>
    <w:rsid w:val="70F23D09"/>
    <w:rsid w:val="710E48BB"/>
    <w:rsid w:val="7122764C"/>
    <w:rsid w:val="71266898"/>
    <w:rsid w:val="712C426F"/>
    <w:rsid w:val="713D06C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BA1E81"/>
    <w:rsid w:val="72E71B23"/>
    <w:rsid w:val="72EA7412"/>
    <w:rsid w:val="72EF0EFD"/>
    <w:rsid w:val="72FE6F04"/>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920274"/>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341DE"/>
    <w:rsid w:val="77266ECD"/>
    <w:rsid w:val="77274014"/>
    <w:rsid w:val="772E60A5"/>
    <w:rsid w:val="772F49B7"/>
    <w:rsid w:val="775B3643"/>
    <w:rsid w:val="7775620B"/>
    <w:rsid w:val="777E15A5"/>
    <w:rsid w:val="777E76EA"/>
    <w:rsid w:val="77DF669D"/>
    <w:rsid w:val="77E6256B"/>
    <w:rsid w:val="780178D3"/>
    <w:rsid w:val="78101057"/>
    <w:rsid w:val="78270079"/>
    <w:rsid w:val="785F2C67"/>
    <w:rsid w:val="789B03CD"/>
    <w:rsid w:val="78AF50A2"/>
    <w:rsid w:val="78BB50B5"/>
    <w:rsid w:val="78BF6AA1"/>
    <w:rsid w:val="78D53072"/>
    <w:rsid w:val="78E72717"/>
    <w:rsid w:val="78FA33E7"/>
    <w:rsid w:val="790229FE"/>
    <w:rsid w:val="79071BED"/>
    <w:rsid w:val="79134DAF"/>
    <w:rsid w:val="791A2350"/>
    <w:rsid w:val="791F10DC"/>
    <w:rsid w:val="792D18D9"/>
    <w:rsid w:val="792D736C"/>
    <w:rsid w:val="79372177"/>
    <w:rsid w:val="79405A73"/>
    <w:rsid w:val="794B7229"/>
    <w:rsid w:val="795C334F"/>
    <w:rsid w:val="796B53F0"/>
    <w:rsid w:val="798B13E2"/>
    <w:rsid w:val="798C137C"/>
    <w:rsid w:val="79997901"/>
    <w:rsid w:val="79BA797F"/>
    <w:rsid w:val="79CA3393"/>
    <w:rsid w:val="79D77B27"/>
    <w:rsid w:val="79DB0863"/>
    <w:rsid w:val="79E2530B"/>
    <w:rsid w:val="79E7633C"/>
    <w:rsid w:val="79F05485"/>
    <w:rsid w:val="79FC3BB6"/>
    <w:rsid w:val="7A184A9C"/>
    <w:rsid w:val="7A3129A1"/>
    <w:rsid w:val="7A376B29"/>
    <w:rsid w:val="7A3B60F8"/>
    <w:rsid w:val="7A423EEC"/>
    <w:rsid w:val="7A703649"/>
    <w:rsid w:val="7A735783"/>
    <w:rsid w:val="7AA4325F"/>
    <w:rsid w:val="7AB65128"/>
    <w:rsid w:val="7ABE3508"/>
    <w:rsid w:val="7AD60649"/>
    <w:rsid w:val="7ADA0531"/>
    <w:rsid w:val="7B1B4CE1"/>
    <w:rsid w:val="7B2E7ECD"/>
    <w:rsid w:val="7B305576"/>
    <w:rsid w:val="7B396537"/>
    <w:rsid w:val="7B756D19"/>
    <w:rsid w:val="7BA25186"/>
    <w:rsid w:val="7BAC3172"/>
    <w:rsid w:val="7BCA6449"/>
    <w:rsid w:val="7BEA37FA"/>
    <w:rsid w:val="7BF969EC"/>
    <w:rsid w:val="7C0569B5"/>
    <w:rsid w:val="7C14258F"/>
    <w:rsid w:val="7C3D1BF5"/>
    <w:rsid w:val="7C4D1621"/>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DEC0AB8"/>
    <w:rsid w:val="7DF10ED8"/>
    <w:rsid w:val="7E0D3F64"/>
    <w:rsid w:val="7E210829"/>
    <w:rsid w:val="7E212B56"/>
    <w:rsid w:val="7E3D57DB"/>
    <w:rsid w:val="7E4135F5"/>
    <w:rsid w:val="7E5D6EFF"/>
    <w:rsid w:val="7E6476FC"/>
    <w:rsid w:val="7E6C6BD5"/>
    <w:rsid w:val="7E7E7292"/>
    <w:rsid w:val="7E9D7FC8"/>
    <w:rsid w:val="7EAD09C9"/>
    <w:rsid w:val="7EB71685"/>
    <w:rsid w:val="7EC520CE"/>
    <w:rsid w:val="7ECD592F"/>
    <w:rsid w:val="7EE84E7B"/>
    <w:rsid w:val="7EEC24B0"/>
    <w:rsid w:val="7EF02F3D"/>
    <w:rsid w:val="7EF40344"/>
    <w:rsid w:val="7EF85335"/>
    <w:rsid w:val="7EFC617C"/>
    <w:rsid w:val="7F3D5AF2"/>
    <w:rsid w:val="7F4133F6"/>
    <w:rsid w:val="7F7E0192"/>
    <w:rsid w:val="7F8015A7"/>
    <w:rsid w:val="7F834860"/>
    <w:rsid w:val="7F9B1826"/>
    <w:rsid w:val="7FA41788"/>
    <w:rsid w:val="7FC91E5B"/>
    <w:rsid w:val="7FE17645"/>
    <w:rsid w:val="7FEC3D80"/>
    <w:rsid w:val="7FFB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autoRedefine/>
    <w:qFormat/>
    <w:uiPriority w:val="0"/>
    <w:pPr>
      <w:spacing w:before="340" w:after="330" w:line="578" w:lineRule="auto"/>
      <w:outlineLvl w:val="0"/>
    </w:pPr>
    <w:rPr>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8"/>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szCs w:val="20"/>
    </w:rPr>
  </w:style>
  <w:style w:type="paragraph" w:styleId="3">
    <w:name w:val="toc 5"/>
    <w:basedOn w:val="1"/>
    <w:next w:val="1"/>
    <w:autoRedefine/>
    <w:qFormat/>
    <w:uiPriority w:val="0"/>
    <w:pPr>
      <w:ind w:left="1680"/>
    </w:pPr>
  </w:style>
  <w:style w:type="paragraph" w:styleId="8">
    <w:name w:val="Normal Indent"/>
    <w:basedOn w:val="1"/>
    <w:autoRedefine/>
    <w:qFormat/>
    <w:uiPriority w:val="0"/>
    <w:pPr>
      <w:ind w:firstLine="420"/>
    </w:pPr>
    <w:rPr>
      <w:szCs w:val="20"/>
    </w:rPr>
  </w:style>
  <w:style w:type="paragraph" w:styleId="10">
    <w:name w:val="caption"/>
    <w:basedOn w:val="1"/>
    <w:next w:val="1"/>
    <w:autoRedefine/>
    <w:qFormat/>
    <w:uiPriority w:val="0"/>
    <w:rPr>
      <w:rFonts w:ascii="Arial" w:hAnsi="Arial" w:eastAsia="黑体" w:cs="Arial"/>
      <w:sz w:val="20"/>
      <w:szCs w:val="20"/>
    </w:rPr>
  </w:style>
  <w:style w:type="paragraph" w:styleId="11">
    <w:name w:val="Document Map"/>
    <w:basedOn w:val="1"/>
    <w:link w:val="40"/>
    <w:autoRedefine/>
    <w:qFormat/>
    <w:uiPriority w:val="0"/>
    <w:rPr>
      <w:rFonts w:ascii="宋体"/>
      <w:sz w:val="24"/>
    </w:rPr>
  </w:style>
  <w:style w:type="paragraph" w:styleId="12">
    <w:name w:val="annotation text"/>
    <w:basedOn w:val="1"/>
    <w:link w:val="41"/>
    <w:autoRedefine/>
    <w:qFormat/>
    <w:uiPriority w:val="99"/>
    <w:pPr>
      <w:widowControl/>
      <w:jc w:val="left"/>
    </w:pPr>
    <w:rPr>
      <w:kern w:val="0"/>
      <w:szCs w:val="20"/>
    </w:r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autoSpaceDE w:val="0"/>
      <w:autoSpaceDN w:val="0"/>
      <w:adjustRightInd w:val="0"/>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2"/>
    <w:next w:val="12"/>
    <w:link w:val="43"/>
    <w:autoRedefine/>
    <w:qFormat/>
    <w:uiPriority w:val="0"/>
    <w:pPr>
      <w:widowControl w:val="0"/>
    </w:pPr>
    <w:rPr>
      <w:b/>
      <w:bCs/>
      <w:kern w:val="2"/>
      <w:szCs w:val="24"/>
    </w:rPr>
  </w:style>
  <w:style w:type="paragraph" w:styleId="31">
    <w:name w:val="Body Text First Indent"/>
    <w:basedOn w:val="2"/>
    <w:next w:val="1"/>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字符"/>
    <w:link w:val="11"/>
    <w:autoRedefine/>
    <w:qFormat/>
    <w:uiPriority w:val="0"/>
    <w:rPr>
      <w:rFonts w:ascii="宋体"/>
      <w:kern w:val="2"/>
      <w:sz w:val="24"/>
      <w:szCs w:val="24"/>
    </w:rPr>
  </w:style>
  <w:style w:type="character" w:customStyle="1" w:styleId="41">
    <w:name w:val="批注文字 字符"/>
    <w:link w:val="12"/>
    <w:autoRedefine/>
    <w:qFormat/>
    <w:uiPriority w:val="99"/>
    <w:rPr>
      <w:sz w:val="21"/>
    </w:rPr>
  </w:style>
  <w:style w:type="character" w:customStyle="1" w:styleId="42">
    <w:name w:val="批注框文本 字符"/>
    <w:link w:val="19"/>
    <w:autoRedefine/>
    <w:qFormat/>
    <w:uiPriority w:val="0"/>
    <w:rPr>
      <w:kern w:val="2"/>
      <w:sz w:val="18"/>
      <w:szCs w:val="18"/>
    </w:rPr>
  </w:style>
  <w:style w:type="character" w:customStyle="1" w:styleId="43">
    <w:name w:val="批注主题 字符"/>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10"/>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2"/>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6498</Words>
  <Characters>6755</Characters>
  <Lines>1</Lines>
  <Paragraphs>1</Paragraphs>
  <TotalTime>0</TotalTime>
  <ScaleCrop>false</ScaleCrop>
  <LinksUpToDate>false</LinksUpToDate>
  <CharactersWithSpaces>7076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王一军</cp:lastModifiedBy>
  <cp:lastPrinted>2024-01-05T06:18:00Z</cp:lastPrinted>
  <dcterms:modified xsi:type="dcterms:W3CDTF">2024-05-27T02:49:01Z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127CE3487D534FED80345B3E36926496_13</vt:lpwstr>
  </property>
</Properties>
</file>