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hAnsi="宋体" w:cs="宋体"/>
          <w:b/>
          <w:color w:val="auto"/>
          <w:kern w:val="0"/>
          <w:sz w:val="44"/>
          <w:szCs w:val="44"/>
          <w:highlight w:val="none"/>
          <w:lang w:val="en-US" w:eastAsia="zh-CN"/>
        </w:rPr>
        <w:t xml:space="preserve">                                                                                                                                                                                                                                                                                                                                                                                                                                                                                                                                                                                                                                                                                                                                                                                                                                                                                                                                                                                                                                                                    </w:t>
      </w: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网络舆情监测系统</w:t>
      </w:r>
      <w:r>
        <w:rPr>
          <w:rFonts w:hint="eastAsia" w:ascii="宋体" w:hAnsi="宋体" w:cs="宋体"/>
          <w:b/>
          <w:bCs/>
          <w:sz w:val="44"/>
          <w:szCs w:val="44"/>
          <w:lang w:val="en-US" w:eastAsia="zh-CN"/>
        </w:rPr>
        <w:t>采购</w:t>
      </w:r>
      <w:r>
        <w:rPr>
          <w:rFonts w:hint="eastAsia" w:ascii="宋体" w:hAnsi="宋体" w:eastAsia="宋体" w:cs="宋体"/>
          <w:b/>
          <w:bCs/>
          <w:sz w:val="44"/>
          <w:szCs w:val="44"/>
          <w:lang w:val="en-US" w:eastAsia="zh-CN"/>
        </w:rPr>
        <w:t>项目</w:t>
      </w:r>
    </w:p>
    <w:p>
      <w:pPr>
        <w:pStyle w:val="15"/>
        <w:rPr>
          <w:rFonts w:hint="eastAsia" w:ascii="宋体" w:hAnsi="宋体" w:eastAsia="宋体" w:cs="宋体"/>
          <w:b/>
          <w:bCs/>
          <w:sz w:val="44"/>
          <w:szCs w:val="44"/>
          <w:lang w:val="en-US" w:eastAsia="zh-CN"/>
        </w:rPr>
      </w:pPr>
    </w:p>
    <w:p>
      <w:pPr>
        <w:rPr>
          <w:rFonts w:hint="eastAsia" w:ascii="宋体" w:hAnsi="宋体" w:eastAsia="宋体" w:cs="宋体"/>
          <w:b/>
          <w:bCs/>
          <w:sz w:val="44"/>
          <w:szCs w:val="44"/>
          <w:lang w:val="en-US" w:eastAsia="zh-CN"/>
        </w:rPr>
      </w:pPr>
    </w:p>
    <w:p>
      <w:pPr>
        <w:widowControl/>
        <w:tabs>
          <w:tab w:val="left" w:pos="567"/>
        </w:tabs>
        <w:autoSpaceDE w:val="0"/>
        <w:autoSpaceDN w:val="0"/>
        <w:jc w:val="center"/>
        <w:textAlignment w:val="bottom"/>
        <w:rPr>
          <w:rFonts w:hint="eastAsia" w:ascii="宋体" w:hAnsi="宋体" w:eastAsia="宋体" w:cs="宋体"/>
          <w:b/>
          <w:bCs/>
          <w:color w:val="000000"/>
          <w:sz w:val="96"/>
          <w:szCs w:val="28"/>
          <w:highlight w:val="none"/>
        </w:rPr>
      </w:pPr>
      <w:r>
        <w:rPr>
          <w:rFonts w:hint="eastAsia" w:ascii="宋体" w:hAnsi="宋体" w:cs="宋体"/>
          <w:b/>
          <w:bCs/>
          <w:color w:val="000000"/>
          <w:sz w:val="96"/>
          <w:szCs w:val="28"/>
          <w:highlight w:val="none"/>
          <w:lang w:val="en-US" w:eastAsia="zh-CN"/>
        </w:rPr>
        <w:t>采购</w:t>
      </w:r>
      <w:r>
        <w:rPr>
          <w:rFonts w:hint="eastAsia" w:ascii="宋体" w:hAnsi="宋体" w:eastAsia="宋体" w:cs="宋体"/>
          <w:b/>
          <w:bCs/>
          <w:color w:val="000000"/>
          <w:sz w:val="96"/>
          <w:szCs w:val="28"/>
          <w:highlight w:val="none"/>
        </w:rPr>
        <w:t>文件</w:t>
      </w:r>
    </w:p>
    <w:p>
      <w:pPr>
        <w:pStyle w:val="15"/>
        <w:jc w:val="center"/>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pStyle w:val="15"/>
        <w:rPr>
          <w:rFonts w:hint="eastAsia" w:ascii="宋体" w:hAnsi="宋体" w:eastAsia="宋体" w:cs="宋体"/>
          <w:sz w:val="44"/>
          <w:szCs w:val="44"/>
          <w:lang w:val="en-US" w:eastAsia="zh-CN"/>
        </w:rPr>
      </w:pPr>
    </w:p>
    <w:p>
      <w:pPr>
        <w:rPr>
          <w:rFonts w:hint="eastAsia" w:ascii="宋体" w:hAnsi="宋体" w:eastAsia="宋体" w:cs="宋体"/>
          <w:lang w:val="en-US" w:eastAsia="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pPr>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202</w:t>
      </w:r>
      <w:r>
        <w:rPr>
          <w:rFonts w:hint="eastAsia" w:ascii="宋体" w:hAnsi="宋体" w:cs="宋体"/>
          <w:color w:val="000000"/>
          <w:sz w:val="32"/>
          <w:szCs w:val="32"/>
          <w:highlight w:val="none"/>
          <w:lang w:val="en-US" w:eastAsia="zh-CN"/>
        </w:rPr>
        <w:t>4</w:t>
      </w:r>
      <w:r>
        <w:rPr>
          <w:rFonts w:hint="eastAsia" w:ascii="宋体" w:hAnsi="宋体" w:eastAsia="宋体" w:cs="宋体"/>
          <w:color w:val="000000"/>
          <w:sz w:val="32"/>
          <w:szCs w:val="32"/>
          <w:highlight w:val="none"/>
        </w:rPr>
        <w:t>年</w:t>
      </w:r>
      <w:r>
        <w:rPr>
          <w:rFonts w:hint="eastAsia" w:ascii="宋体" w:hAnsi="宋体" w:cs="宋体"/>
          <w:color w:val="000000"/>
          <w:sz w:val="32"/>
          <w:szCs w:val="32"/>
          <w:highlight w:val="none"/>
          <w:lang w:val="en-US" w:eastAsia="zh-CN"/>
        </w:rPr>
        <w:t>3</w:t>
      </w:r>
      <w:r>
        <w:rPr>
          <w:rFonts w:hint="eastAsia" w:ascii="宋体" w:hAnsi="宋体" w:eastAsia="宋体" w:cs="宋体"/>
          <w:color w:val="000000"/>
          <w:sz w:val="32"/>
          <w:szCs w:val="32"/>
          <w:highlight w:val="none"/>
        </w:rPr>
        <w:t>月</w:t>
      </w:r>
    </w:p>
    <w:p>
      <w:pPr>
        <w:pStyle w:val="15"/>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pStyle w:val="15"/>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keepNext w:val="0"/>
        <w:keepLines w:val="0"/>
        <w:pageBreakBefore w:val="0"/>
        <w:kinsoku/>
        <w:overflowPunct/>
        <w:topLinePunct w:val="0"/>
        <w:bidi w:val="0"/>
        <w:spacing w:line="440" w:lineRule="exact"/>
        <w:jc w:val="center"/>
        <w:outlineLvl w:val="9"/>
        <w:rPr>
          <w:rFonts w:hint="eastAsia" w:ascii="宋体" w:hAnsi="宋体" w:cs="宋体"/>
          <w:b/>
          <w:sz w:val="44"/>
          <w:szCs w:val="28"/>
          <w:highlight w:val="none"/>
        </w:rPr>
      </w:pPr>
    </w:p>
    <w:p>
      <w:pPr>
        <w:keepNext w:val="0"/>
        <w:keepLines w:val="0"/>
        <w:pageBreakBefore w:val="0"/>
        <w:kinsoku/>
        <w:overflowPunct/>
        <w:topLinePunct w:val="0"/>
        <w:bidi w:val="0"/>
        <w:spacing w:line="440" w:lineRule="exact"/>
        <w:jc w:val="center"/>
        <w:outlineLvl w:val="9"/>
        <w:rPr>
          <w:rFonts w:ascii="宋体" w:hAnsi="宋体" w:cs="宋体"/>
          <w:b/>
          <w:sz w:val="44"/>
          <w:szCs w:val="28"/>
          <w:highlight w:val="none"/>
        </w:rPr>
      </w:pPr>
      <w:r>
        <w:rPr>
          <w:rFonts w:hint="eastAsia" w:ascii="宋体" w:hAnsi="宋体" w:cs="宋体"/>
          <w:b/>
          <w:sz w:val="44"/>
          <w:szCs w:val="28"/>
          <w:highlight w:val="none"/>
        </w:rPr>
        <w:t>目  录</w:t>
      </w:r>
    </w:p>
    <w:p>
      <w:pPr>
        <w:keepNext w:val="0"/>
        <w:keepLines w:val="0"/>
        <w:pageBreakBefore w:val="0"/>
        <w:kinsoku/>
        <w:overflowPunct/>
        <w:topLinePunct w:val="0"/>
        <w:bidi w:val="0"/>
        <w:spacing w:line="440" w:lineRule="exact"/>
        <w:jc w:val="center"/>
        <w:outlineLvl w:val="9"/>
        <w:rPr>
          <w:rFonts w:ascii="宋体" w:hAnsi="宋体" w:cs="宋体"/>
          <w:b/>
          <w:sz w:val="28"/>
          <w:szCs w:val="28"/>
          <w:highlight w:val="none"/>
        </w:rPr>
      </w:pPr>
    </w:p>
    <w:p>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第一部分  邀请函</w:t>
      </w:r>
    </w:p>
    <w:p>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pPr>
        <w:keepNext w:val="0"/>
        <w:keepLines w:val="0"/>
        <w:pageBreakBefore w:val="0"/>
        <w:kinsoku/>
        <w:overflowPunct/>
        <w:topLinePunct w:val="0"/>
        <w:bidi w:val="0"/>
        <w:spacing w:line="440" w:lineRule="exact"/>
        <w:ind w:firstLine="562" w:firstLineChars="200"/>
        <w:outlineLvl w:val="9"/>
        <w:rPr>
          <w:rFonts w:hint="default" w:ascii="宋体" w:hAnsi="宋体" w:eastAsia="宋体" w:cs="宋体"/>
          <w:b/>
          <w:sz w:val="28"/>
          <w:szCs w:val="28"/>
          <w:highlight w:val="none"/>
          <w:lang w:val="en-US" w:eastAsia="zh-CN"/>
        </w:rPr>
      </w:pPr>
      <w:r>
        <w:rPr>
          <w:rFonts w:hint="eastAsia" w:ascii="宋体" w:hAnsi="宋体" w:cs="宋体"/>
          <w:b/>
          <w:sz w:val="28"/>
          <w:szCs w:val="28"/>
          <w:highlight w:val="none"/>
        </w:rPr>
        <w:t>第二部分  用户需求书</w:t>
      </w:r>
      <w:r>
        <w:rPr>
          <w:rFonts w:hint="eastAsia" w:ascii="宋体" w:hAnsi="宋体" w:cs="宋体"/>
          <w:b/>
          <w:sz w:val="28"/>
          <w:szCs w:val="28"/>
          <w:highlight w:val="none"/>
          <w:lang w:val="en-US" w:eastAsia="zh-CN"/>
        </w:rPr>
        <w:t>及控制价</w:t>
      </w:r>
    </w:p>
    <w:p>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第三部分  评审标准</w:t>
      </w:r>
    </w:p>
    <w:p>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pPr>
        <w:keepNext w:val="0"/>
        <w:keepLines w:val="0"/>
        <w:pageBreakBefore w:val="0"/>
        <w:numPr>
          <w:ilvl w:val="0"/>
          <w:numId w:val="1"/>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rPr>
        <w:t xml:space="preserve"> 参评响应文件格式</w:t>
      </w:r>
    </w:p>
    <w:p>
      <w:pPr>
        <w:keepNext w:val="0"/>
        <w:keepLines w:val="0"/>
        <w:pageBreakBefore w:val="0"/>
        <w:numPr>
          <w:ilvl w:val="-1"/>
          <w:numId w:val="0"/>
        </w:numPr>
        <w:kinsoku/>
        <w:overflowPunct/>
        <w:topLinePunct w:val="0"/>
        <w:bidi w:val="0"/>
        <w:spacing w:line="440" w:lineRule="exact"/>
        <w:ind w:firstLine="0" w:firstLineChars="0"/>
        <w:outlineLvl w:val="9"/>
        <w:rPr>
          <w:rFonts w:hint="eastAsia" w:ascii="宋体" w:hAnsi="宋体" w:cs="宋体"/>
          <w:b/>
          <w:sz w:val="28"/>
          <w:szCs w:val="28"/>
          <w:highlight w:val="none"/>
        </w:rPr>
      </w:pPr>
    </w:p>
    <w:p>
      <w:pPr>
        <w:keepNext w:val="0"/>
        <w:keepLines w:val="0"/>
        <w:pageBreakBefore w:val="0"/>
        <w:numPr>
          <w:ilvl w:val="0"/>
          <w:numId w:val="1"/>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lang w:val="en-US" w:eastAsia="zh-CN"/>
        </w:rPr>
        <w:t xml:space="preserve"> 合同格式</w:t>
      </w: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pPr>
        <w:pStyle w:val="7"/>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hAnsi="宋体" w:cs="宋体"/>
          <w:b/>
          <w:bCs/>
          <w:sz w:val="44"/>
          <w:szCs w:val="44"/>
          <w:highlight w:val="none"/>
        </w:rPr>
      </w:pPr>
    </w:p>
    <w:p>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Ansi="宋体" w:cs="宋体"/>
          <w:b/>
          <w:kern w:val="28"/>
          <w:sz w:val="44"/>
          <w:szCs w:val="44"/>
          <w:highlight w:val="none"/>
        </w:rPr>
      </w:pPr>
      <w:r>
        <w:rPr>
          <w:rFonts w:hint="eastAsia" w:hAnsi="宋体" w:cs="宋体"/>
          <w:b/>
          <w:bCs/>
          <w:sz w:val="44"/>
          <w:szCs w:val="44"/>
          <w:highlight w:val="none"/>
        </w:rPr>
        <w:t>第一部分  邀请函</w:t>
      </w:r>
    </w:p>
    <w:p>
      <w:pPr>
        <w:keepNext w:val="0"/>
        <w:keepLines w:val="0"/>
        <w:pageBreakBefore w:val="0"/>
        <w:kinsoku/>
        <w:overflowPunct/>
        <w:topLinePunct w:val="0"/>
        <w:bidi w:val="0"/>
        <w:spacing w:line="440" w:lineRule="exact"/>
        <w:jc w:val="left"/>
        <w:outlineLvl w:val="9"/>
        <w:rPr>
          <w:rFonts w:hint="eastAsia" w:ascii="宋体" w:hAnsi="宋体" w:cs="宋体"/>
          <w:spacing w:val="20"/>
          <w:sz w:val="24"/>
          <w:highlight w:val="none"/>
        </w:rPr>
      </w:pPr>
    </w:p>
    <w:p>
      <w:pPr>
        <w:keepNext w:val="0"/>
        <w:keepLines w:val="0"/>
        <w:pageBreakBefore w:val="0"/>
        <w:kinsoku/>
        <w:overflowPunct/>
        <w:topLinePunct w:val="0"/>
        <w:bidi w:val="0"/>
        <w:spacing w:line="440" w:lineRule="exact"/>
        <w:jc w:val="left"/>
        <w:outlineLvl w:val="9"/>
        <w:rPr>
          <w:rFonts w:ascii="宋体" w:hAnsi="宋体" w:cs="宋体"/>
          <w:spacing w:val="20"/>
          <w:sz w:val="24"/>
          <w:highlight w:val="none"/>
        </w:rPr>
      </w:pPr>
      <w:r>
        <w:rPr>
          <w:rFonts w:hint="eastAsia" w:ascii="宋体" w:hAnsi="宋体" w:cs="宋体"/>
          <w:spacing w:val="20"/>
          <w:sz w:val="24"/>
          <w:highlight w:val="none"/>
        </w:rPr>
        <w:t>各潜在供应商：</w:t>
      </w:r>
    </w:p>
    <w:p>
      <w:pPr>
        <w:keepNext w:val="0"/>
        <w:keepLines w:val="0"/>
        <w:pageBreakBefore w:val="0"/>
        <w:kinsoku/>
        <w:overflowPunct/>
        <w:topLinePunct w:val="0"/>
        <w:bidi w:val="0"/>
        <w:spacing w:line="440" w:lineRule="exact"/>
        <w:ind w:firstLine="560" w:firstLineChars="200"/>
        <w:jc w:val="left"/>
        <w:outlineLvl w:val="9"/>
        <w:rPr>
          <w:rFonts w:ascii="宋体" w:hAnsi="宋体" w:cs="宋体"/>
          <w:sz w:val="24"/>
          <w:highlight w:val="none"/>
        </w:rPr>
      </w:pPr>
      <w:r>
        <w:rPr>
          <w:rFonts w:hint="eastAsia" w:ascii="宋体" w:hAnsi="宋体" w:cs="宋体"/>
          <w:spacing w:val="20"/>
          <w:sz w:val="24"/>
          <w:highlight w:val="none"/>
        </w:rPr>
        <w:t>现就中山市公共交通运输集团有限公司</w:t>
      </w:r>
      <w:r>
        <w:rPr>
          <w:rFonts w:hint="eastAsia" w:ascii="宋体" w:hAnsi="宋体" w:cs="宋体"/>
          <w:spacing w:val="20"/>
          <w:sz w:val="24"/>
          <w:highlight w:val="none"/>
          <w:lang w:eastAsia="zh-CN"/>
        </w:rPr>
        <w:t>（</w:t>
      </w:r>
      <w:r>
        <w:rPr>
          <w:rFonts w:hint="eastAsia" w:ascii="宋体" w:hAnsi="宋体" w:cs="宋体"/>
          <w:spacing w:val="20"/>
          <w:sz w:val="24"/>
          <w:highlight w:val="none"/>
          <w:lang w:val="en-US" w:eastAsia="zh-CN"/>
        </w:rPr>
        <w:t>下称采购人</w:t>
      </w:r>
      <w:r>
        <w:rPr>
          <w:rFonts w:hint="eastAsia" w:ascii="宋体" w:hAnsi="宋体" w:cs="宋体"/>
          <w:spacing w:val="20"/>
          <w:sz w:val="24"/>
          <w:highlight w:val="none"/>
          <w:lang w:eastAsia="zh-CN"/>
        </w:rPr>
        <w:t>）</w:t>
      </w:r>
      <w:r>
        <w:rPr>
          <w:rFonts w:hint="eastAsia" w:ascii="宋体" w:hAnsi="宋体" w:cs="宋体"/>
          <w:spacing w:val="20"/>
          <w:sz w:val="24"/>
          <w:highlight w:val="none"/>
          <w:lang w:val="en-US" w:eastAsia="zh-CN"/>
        </w:rPr>
        <w:t>网络舆情监测系统采购项目</w:t>
      </w:r>
      <w:r>
        <w:rPr>
          <w:rFonts w:hint="eastAsia" w:ascii="宋体" w:hAnsi="宋体" w:cs="宋体"/>
          <w:spacing w:val="20"/>
          <w:sz w:val="24"/>
          <w:highlight w:val="none"/>
        </w:rPr>
        <w:t>进行公开采购，欢迎符合资格条件的供应商参与评选，有关事项如下：</w:t>
      </w:r>
    </w:p>
    <w:p>
      <w:pPr>
        <w:keepNext w:val="0"/>
        <w:keepLines w:val="0"/>
        <w:pageBreakBefore w:val="0"/>
        <w:numPr>
          <w:ilvl w:val="255"/>
          <w:numId w:val="0"/>
        </w:numPr>
        <w:kinsoku/>
        <w:overflowPunct/>
        <w:topLinePunct w:val="0"/>
        <w:bidi w:val="0"/>
        <w:spacing w:line="440" w:lineRule="exact"/>
        <w:ind w:firstLine="482" w:firstLineChars="200"/>
        <w:outlineLvl w:val="9"/>
        <w:rPr>
          <w:rFonts w:hint="eastAsia" w:ascii="宋体" w:hAnsi="宋体" w:eastAsia="宋体" w:cs="宋体"/>
          <w:spacing w:val="20"/>
          <w:sz w:val="24"/>
          <w:highlight w:val="none"/>
          <w:lang w:eastAsia="zh-CN"/>
        </w:rPr>
      </w:pPr>
      <w:r>
        <w:rPr>
          <w:rFonts w:hint="eastAsia" w:ascii="宋体" w:hAnsi="宋体" w:cs="宋体"/>
          <w:b/>
          <w:bCs/>
          <w:sz w:val="24"/>
          <w:highlight w:val="none"/>
        </w:rPr>
        <w:t>一、项目名称：</w:t>
      </w:r>
      <w:r>
        <w:rPr>
          <w:rFonts w:hint="eastAsia" w:ascii="宋体" w:hAnsi="宋体" w:cs="宋体"/>
          <w:sz w:val="24"/>
          <w:highlight w:val="none"/>
        </w:rPr>
        <w:t>中山市公共交通运输集团有限公司</w:t>
      </w:r>
      <w:r>
        <w:rPr>
          <w:rFonts w:hint="eastAsia" w:ascii="宋体" w:hAnsi="宋体" w:cs="宋体"/>
          <w:spacing w:val="20"/>
          <w:sz w:val="24"/>
          <w:highlight w:val="none"/>
          <w:lang w:val="en-US" w:eastAsia="zh-CN"/>
        </w:rPr>
        <w:t>网络舆情监测系统采购项目</w:t>
      </w:r>
    </w:p>
    <w:p>
      <w:pPr>
        <w:keepNext w:val="0"/>
        <w:keepLines w:val="0"/>
        <w:pageBreakBefore w:val="0"/>
        <w:kinsoku/>
        <w:overflowPunct/>
        <w:topLinePunct w:val="0"/>
        <w:bidi w:val="0"/>
        <w:spacing w:line="440" w:lineRule="exact"/>
        <w:ind w:firstLine="482" w:firstLineChars="200"/>
        <w:outlineLvl w:val="9"/>
        <w:rPr>
          <w:rFonts w:ascii="宋体" w:hAnsi="宋体" w:cs="宋体"/>
          <w:sz w:val="24"/>
          <w:highlight w:val="none"/>
        </w:rPr>
      </w:pPr>
      <w:r>
        <w:rPr>
          <w:rFonts w:hint="eastAsia" w:ascii="宋体" w:hAnsi="宋体" w:cs="宋体"/>
          <w:b/>
          <w:bCs/>
          <w:sz w:val="24"/>
          <w:highlight w:val="none"/>
        </w:rPr>
        <w:t>二、项目要求：</w:t>
      </w:r>
      <w:r>
        <w:rPr>
          <w:rFonts w:hint="eastAsia" w:ascii="宋体" w:hAnsi="宋体" w:cs="宋体"/>
          <w:sz w:val="24"/>
          <w:highlight w:val="none"/>
        </w:rPr>
        <w:t>详细技术参数见第二部分《用户需求书》</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三、资金来源：</w:t>
      </w:r>
      <w:r>
        <w:rPr>
          <w:rFonts w:hint="eastAsia" w:ascii="宋体" w:hAnsi="宋体" w:cs="宋体"/>
          <w:sz w:val="24"/>
          <w:highlight w:val="none"/>
        </w:rPr>
        <w:t>自筹资金</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四、预算金额及总报价限价：</w:t>
      </w:r>
      <w:r>
        <w:rPr>
          <w:rFonts w:hint="eastAsia" w:ascii="宋体" w:hAnsi="宋体" w:cs="宋体"/>
          <w:sz w:val="24"/>
          <w:highlight w:val="none"/>
        </w:rPr>
        <w:t>不高于¥</w:t>
      </w:r>
      <w:r>
        <w:rPr>
          <w:rFonts w:hint="eastAsia" w:ascii="宋体" w:hAnsi="宋体" w:cs="宋体"/>
          <w:sz w:val="24"/>
          <w:highlight w:val="none"/>
          <w:lang w:val="en-US" w:eastAsia="zh-CN"/>
        </w:rPr>
        <w:t>51600</w:t>
      </w:r>
      <w:r>
        <w:rPr>
          <w:rFonts w:hint="eastAsia" w:ascii="宋体" w:hAnsi="宋体" w:cs="宋体"/>
          <w:sz w:val="24"/>
          <w:highlight w:val="none"/>
        </w:rPr>
        <w:t>.00元</w:t>
      </w:r>
    </w:p>
    <w:p>
      <w:pPr>
        <w:keepNext w:val="0"/>
        <w:keepLines w:val="0"/>
        <w:pageBreakBefore w:val="0"/>
        <w:kinsoku/>
        <w:overflowPunct/>
        <w:topLinePunct w:val="0"/>
        <w:bidi w:val="0"/>
        <w:spacing w:line="440" w:lineRule="exact"/>
        <w:ind w:firstLine="482" w:firstLineChars="200"/>
        <w:outlineLvl w:val="9"/>
        <w:rPr>
          <w:rFonts w:hint="eastAsia" w:ascii="宋体" w:hAnsi="宋体" w:cs="宋体"/>
          <w:b/>
          <w:bCs/>
          <w:sz w:val="24"/>
          <w:highlight w:val="none"/>
        </w:rPr>
      </w:pPr>
      <w:r>
        <w:rPr>
          <w:rFonts w:hint="eastAsia" w:ascii="宋体" w:hAnsi="宋体" w:cs="宋体"/>
          <w:b/>
          <w:bCs/>
          <w:sz w:val="24"/>
          <w:highlight w:val="none"/>
        </w:rPr>
        <w:t>五、项目内容</w:t>
      </w:r>
    </w:p>
    <w:p>
      <w:pPr>
        <w:pStyle w:val="8"/>
        <w:keepNext w:val="0"/>
        <w:keepLines w:val="0"/>
        <w:pageBreakBefore w:val="0"/>
        <w:kinsoku/>
        <w:overflowPunct/>
        <w:topLinePunct w:val="0"/>
        <w:bidi w:val="0"/>
        <w:spacing w:after="0" w:line="440" w:lineRule="exact"/>
        <w:rPr>
          <w:rFonts w:hint="default" w:eastAsia="宋体"/>
          <w:highlight w:val="none"/>
          <w:lang w:val="en-US" w:eastAsia="zh-CN"/>
        </w:rPr>
      </w:pPr>
      <w:r>
        <w:rPr>
          <w:rFonts w:hint="eastAsia" w:ascii="宋体" w:hAnsi="宋体" w:cs="宋体"/>
          <w:b/>
          <w:bCs/>
          <w:sz w:val="24"/>
          <w:highlight w:val="none"/>
          <w:lang w:val="en-US" w:eastAsia="zh-CN"/>
        </w:rPr>
        <w:t>网络舆情监测系统，包括以下方面的内容：</w:t>
      </w:r>
    </w:p>
    <w:p>
      <w:pPr>
        <w:keepNext w:val="0"/>
        <w:keepLines w:val="0"/>
        <w:pageBreakBefore w:val="0"/>
        <w:widowControl/>
        <w:numPr>
          <w:ilvl w:val="0"/>
          <w:numId w:val="2"/>
        </w:numPr>
        <w:kinsoku/>
        <w:overflowPunct/>
        <w:topLinePunct w:val="0"/>
        <w:bidi w:val="0"/>
        <w:spacing w:line="440" w:lineRule="exact"/>
        <w:ind w:firstLine="480" w:firstLineChars="200"/>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提供舆情监测系统平台，对采购人提供的关键字词进行多渠道多方位的监测。</w:t>
      </w:r>
      <w:r>
        <w:rPr>
          <w:rFonts w:hint="eastAsia" w:ascii="宋体" w:hAnsi="宋体" w:eastAsia="宋体" w:cs="宋体"/>
          <w:i w:val="0"/>
          <w:iCs w:val="0"/>
          <w:color w:val="000000"/>
          <w:kern w:val="0"/>
          <w:sz w:val="24"/>
          <w:szCs w:val="24"/>
          <w:u w:val="none"/>
          <w:lang w:val="en-US" w:eastAsia="zh-CN" w:bidi="ar"/>
        </w:rPr>
        <w:t>系统监测范围可覆盖网站、微博、微信、论坛、贴吧、App、自媒体、报刊数据、短视频平台等全网全媒体。</w:t>
      </w:r>
    </w:p>
    <w:p>
      <w:pPr>
        <w:pStyle w:val="8"/>
        <w:keepNext w:val="0"/>
        <w:keepLines w:val="0"/>
        <w:pageBreakBefore w:val="0"/>
        <w:numPr>
          <w:ilvl w:val="0"/>
          <w:numId w:val="2"/>
        </w:numPr>
        <w:kinsoku/>
        <w:overflowPunct/>
        <w:topLinePunct w:val="0"/>
        <w:bidi w:val="0"/>
        <w:spacing w:after="0" w:line="440" w:lineRule="exact"/>
        <w:ind w:left="0" w:leftChars="0" w:firstLine="480" w:firstLineChars="200"/>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能够在舆情出现后进行实时预警，将舆情相关情况在半小时内以微信、邮件、短信等形式发送到采购人相关人员的移动端，及时提醒用户有关的舆情信息。</w:t>
      </w:r>
    </w:p>
    <w:p>
      <w:pPr>
        <w:pStyle w:val="8"/>
        <w:keepNext w:val="0"/>
        <w:keepLines w:val="0"/>
        <w:pageBreakBefore w:val="0"/>
        <w:kinsoku/>
        <w:overflowPunct/>
        <w:topLinePunct w:val="0"/>
        <w:bidi w:val="0"/>
        <w:spacing w:after="0" w:line="440" w:lineRule="exact"/>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三）网络舆情监测系统要能支持多种关键字语法，包括“或”、“与”、“非”以及括号，可自由、准确设定监测信息的范围。另外，系统支持一段文字作为关键字进行信息查询和监测。同时在关键字词的范围设置上能够有层级间的区别监测。</w:t>
      </w:r>
    </w:p>
    <w:p>
      <w:pPr>
        <w:pStyle w:val="8"/>
        <w:keepNext w:val="0"/>
        <w:keepLines w:val="0"/>
        <w:pageBreakBefore w:val="0"/>
        <w:kinsoku/>
        <w:overflowPunct/>
        <w:topLinePunct w:val="0"/>
        <w:bidi w:val="0"/>
        <w:spacing w:after="0" w:line="440" w:lineRule="exact"/>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（四）根据对敏感信息来源、转载量、转载地址、地域分布、信息发布者等相关信息元素的跟踪，进行倾向性与趁势分析。</w:t>
      </w:r>
    </w:p>
    <w:p>
      <w:pPr>
        <w:pStyle w:val="8"/>
        <w:keepNext w:val="0"/>
        <w:keepLines w:val="0"/>
        <w:pageBreakBefore w:val="0"/>
        <w:kinsoku/>
        <w:overflowPunct/>
        <w:topLinePunct w:val="0"/>
        <w:bidi w:val="0"/>
        <w:spacing w:after="0" w:line="440" w:lineRule="exact"/>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（五）根据文本的情感词汇或者内容的语气等信息，对文本进行情感分析和评价，预判相关的网络舆情信息的层次，准确的判定网络内容的敏感程度。</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六、合格供应商资格要求</w:t>
      </w:r>
    </w:p>
    <w:p>
      <w:pPr>
        <w:widowControl/>
        <w:adjustRightInd w:val="0"/>
        <w:spacing w:line="440" w:lineRule="exact"/>
        <w:ind w:firstLine="480" w:firstLineChars="200"/>
        <w:jc w:val="left"/>
        <w:rPr>
          <w:rFonts w:hint="eastAsia" w:ascii="宋体" w:hAnsi="宋体" w:eastAsia="宋体" w:cs="宋体"/>
          <w:bCs/>
          <w:sz w:val="24"/>
          <w:szCs w:val="24"/>
        </w:rPr>
      </w:pPr>
      <w:r>
        <w:rPr>
          <w:rFonts w:hint="eastAsia" w:ascii="宋体" w:hAnsi="宋体" w:cs="宋体"/>
          <w:sz w:val="24"/>
          <w:highlight w:val="none"/>
        </w:rPr>
        <w:t>（一）</w:t>
      </w:r>
      <w:r>
        <w:rPr>
          <w:rFonts w:hint="eastAsia" w:ascii="宋体" w:hAnsi="宋体" w:eastAsia="宋体" w:cs="宋体"/>
          <w:bCs/>
          <w:sz w:val="24"/>
          <w:szCs w:val="24"/>
        </w:rPr>
        <w:t>供应商须为具有独立承担民事责任能力的在中华人民共和国境内合法注册的企业法人或</w:t>
      </w:r>
      <w:r>
        <w:rPr>
          <w:rFonts w:hint="eastAsia" w:ascii="宋体" w:hAnsi="宋体" w:cs="宋体"/>
          <w:bCs/>
          <w:sz w:val="24"/>
          <w:szCs w:val="24"/>
          <w:lang w:val="en-US" w:eastAsia="zh-CN"/>
        </w:rPr>
        <w:t>其分支机构</w:t>
      </w:r>
      <w:r>
        <w:rPr>
          <w:rFonts w:hint="eastAsia" w:ascii="宋体" w:hAnsi="宋体" w:eastAsia="宋体" w:cs="宋体"/>
          <w:bCs/>
          <w:sz w:val="24"/>
          <w:szCs w:val="24"/>
        </w:rPr>
        <w:t>，遵守中国有关法律、法规，具有良好的商业信誉。</w:t>
      </w:r>
    </w:p>
    <w:p>
      <w:pPr>
        <w:widowControl/>
        <w:adjustRightInd w:val="0"/>
        <w:spacing w:line="440" w:lineRule="exact"/>
        <w:ind w:firstLine="480" w:firstLineChars="200"/>
        <w:jc w:val="left"/>
        <w:rPr>
          <w:rFonts w:hint="eastAsia" w:ascii="宋体" w:hAnsi="宋体" w:eastAsia="宋体" w:cs="宋体"/>
          <w:bCs/>
          <w:sz w:val="24"/>
          <w:szCs w:val="24"/>
        </w:rPr>
      </w:pPr>
      <w:r>
        <w:rPr>
          <w:rFonts w:hint="eastAsia" w:ascii="宋体" w:hAnsi="宋体" w:cs="宋体"/>
          <w:sz w:val="24"/>
          <w:highlight w:val="none"/>
        </w:rPr>
        <w:t>（二）供应商须</w:t>
      </w:r>
      <w:r>
        <w:rPr>
          <w:rFonts w:hint="eastAsia" w:ascii="宋体" w:hAnsi="宋体" w:cs="宋体"/>
          <w:sz w:val="24"/>
          <w:highlight w:val="none"/>
          <w:lang w:val="en-US" w:eastAsia="zh-CN"/>
        </w:rPr>
        <w:t>承诺</w:t>
      </w:r>
      <w:r>
        <w:rPr>
          <w:rFonts w:hint="eastAsia" w:ascii="宋体" w:hAnsi="宋体" w:cs="宋体"/>
          <w:sz w:val="24"/>
          <w:highlight w:val="none"/>
        </w:rPr>
        <w:t>不会以任何方式转包或分包本项目</w:t>
      </w:r>
      <w:r>
        <w:rPr>
          <w:rFonts w:hint="eastAsia" w:ascii="宋体" w:hAnsi="宋体" w:eastAsia="宋体" w:cs="宋体"/>
          <w:bCs/>
          <w:sz w:val="24"/>
          <w:szCs w:val="24"/>
        </w:rPr>
        <w:t>。</w:t>
      </w:r>
    </w:p>
    <w:p>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参评供应商满足本项目的主要需求，填写《需求响应表》并全部完全响应，无负偏离。</w:t>
      </w:r>
    </w:p>
    <w:p>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四</w:t>
      </w:r>
      <w:r>
        <w:rPr>
          <w:rFonts w:hint="eastAsia" w:ascii="宋体" w:hAnsi="宋体" w:cs="宋体"/>
          <w:sz w:val="24"/>
          <w:highlight w:val="none"/>
        </w:rPr>
        <w:t>）报价为唯一固定价且未超过</w:t>
      </w:r>
      <w:r>
        <w:rPr>
          <w:rFonts w:hint="eastAsia" w:ascii="宋体" w:hAnsi="宋体" w:cs="宋体"/>
          <w:sz w:val="24"/>
          <w:highlight w:val="none"/>
          <w:lang w:val="en-US" w:eastAsia="zh-CN"/>
        </w:rPr>
        <w:t>总</w:t>
      </w:r>
      <w:r>
        <w:rPr>
          <w:rFonts w:hint="eastAsia" w:ascii="宋体" w:hAnsi="宋体" w:cs="宋体"/>
          <w:sz w:val="24"/>
          <w:highlight w:val="none"/>
        </w:rPr>
        <w:t>报价限价。</w:t>
      </w:r>
    </w:p>
    <w:p>
      <w:pPr>
        <w:keepNext w:val="0"/>
        <w:keepLines w:val="0"/>
        <w:pageBreakBefore w:val="0"/>
        <w:kinsoku/>
        <w:overflowPunct/>
        <w:topLinePunct w:val="0"/>
        <w:bidi w:val="0"/>
        <w:spacing w:line="440" w:lineRule="exact"/>
        <w:ind w:firstLine="480" w:firstLineChars="200"/>
        <w:outlineLvl w:val="9"/>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五</w:t>
      </w:r>
      <w:r>
        <w:rPr>
          <w:rFonts w:hint="eastAsia" w:ascii="宋体" w:hAnsi="宋体" w:cs="宋体"/>
          <w:bCs/>
          <w:sz w:val="24"/>
          <w:szCs w:val="24"/>
          <w:lang w:eastAsia="zh-CN"/>
        </w:rPr>
        <w:t>）</w:t>
      </w:r>
      <w:r>
        <w:rPr>
          <w:rFonts w:hint="eastAsia" w:ascii="宋体" w:hAnsi="宋体" w:eastAsia="宋体" w:cs="宋体"/>
          <w:bCs/>
          <w:sz w:val="24"/>
          <w:szCs w:val="24"/>
        </w:rPr>
        <w:t>本项目不接受联合体</w:t>
      </w:r>
      <w:r>
        <w:rPr>
          <w:rFonts w:hint="eastAsia" w:ascii="宋体" w:hAnsi="宋体" w:cs="宋体"/>
          <w:bCs/>
          <w:sz w:val="24"/>
          <w:szCs w:val="24"/>
          <w:lang w:val="en-US" w:eastAsia="zh-CN"/>
        </w:rPr>
        <w:t>供应商参评报价</w:t>
      </w:r>
      <w:r>
        <w:rPr>
          <w:rFonts w:hint="eastAsia" w:ascii="宋体" w:hAnsi="宋体" w:cs="宋体"/>
          <w:bCs/>
          <w:sz w:val="24"/>
          <w:szCs w:val="24"/>
          <w:lang w:eastAsia="zh-CN"/>
        </w:rPr>
        <w:t>。</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七、获取公开采购文件</w:t>
      </w:r>
    </w:p>
    <w:p>
      <w:pPr>
        <w:keepNext w:val="0"/>
        <w:keepLines w:val="0"/>
        <w:pageBreakBefore w:val="0"/>
        <w:kinsoku/>
        <w:overflowPunct/>
        <w:topLinePunct w:val="0"/>
        <w:bidi w:val="0"/>
        <w:spacing w:line="440" w:lineRule="exact"/>
        <w:ind w:firstLine="480" w:firstLineChars="200"/>
        <w:jc w:val="both"/>
        <w:outlineLvl w:val="9"/>
        <w:rPr>
          <w:rFonts w:ascii="宋体" w:hAnsi="宋体" w:cs="宋体"/>
          <w:sz w:val="24"/>
          <w:highlight w:val="none"/>
        </w:rPr>
      </w:pPr>
      <w:r>
        <w:rPr>
          <w:rFonts w:hint="eastAsia" w:ascii="宋体" w:hAnsi="宋体" w:cs="宋体"/>
          <w:sz w:val="24"/>
          <w:highlight w:val="none"/>
        </w:rPr>
        <w:t>（一）本项目的采购公告信息</w:t>
      </w:r>
      <w:r>
        <w:rPr>
          <w:rFonts w:hint="eastAsia" w:ascii="宋体" w:hAnsi="宋体" w:cs="宋体"/>
          <w:sz w:val="24"/>
          <w:highlight w:val="none"/>
          <w:lang w:val="en-US" w:eastAsia="zh-CN"/>
        </w:rPr>
        <w:t>仅</w:t>
      </w:r>
      <w:r>
        <w:rPr>
          <w:rFonts w:hint="eastAsia" w:ascii="宋体" w:hAnsi="宋体" w:cs="宋体"/>
          <w:sz w:val="24"/>
          <w:highlight w:val="none"/>
        </w:rPr>
        <w:t>在</w:t>
      </w:r>
      <w:r>
        <w:rPr>
          <w:rFonts w:hint="eastAsia" w:ascii="宋体" w:hAnsi="宋体" w:cs="宋体"/>
          <w:sz w:val="24"/>
          <w:highlight w:val="none"/>
          <w:lang w:val="en-US" w:eastAsia="zh-CN"/>
        </w:rPr>
        <w:t>采购人</w:t>
      </w:r>
      <w:r>
        <w:rPr>
          <w:rFonts w:hint="eastAsia" w:ascii="宋体" w:hAnsi="宋体" w:cs="宋体"/>
          <w:sz w:val="24"/>
          <w:highlight w:val="none"/>
        </w:rPr>
        <w:t>官方网站（https://www.zsbus.cn/infolist.aspx?cid=35）</w:t>
      </w:r>
      <w:r>
        <w:rPr>
          <w:rFonts w:hint="eastAsia" w:ascii="宋体" w:hAnsi="宋体" w:cs="宋体"/>
          <w:sz w:val="24"/>
          <w:highlight w:val="none"/>
          <w:lang w:val="en-US" w:eastAsia="zh-CN"/>
        </w:rPr>
        <w:t>及中山产权服务网（http://zscq.zsnews.cn/）</w:t>
      </w:r>
      <w:r>
        <w:rPr>
          <w:rFonts w:hint="eastAsia" w:ascii="宋体" w:hAnsi="宋体" w:cs="宋体"/>
          <w:sz w:val="24"/>
          <w:highlight w:val="none"/>
        </w:rPr>
        <w:t>上公布，并视为有效送达，不再另行通知。</w:t>
      </w:r>
    </w:p>
    <w:p>
      <w:pPr>
        <w:keepNext w:val="0"/>
        <w:keepLines w:val="0"/>
        <w:pageBreakBefore w:val="0"/>
        <w:kinsoku/>
        <w:overflowPunct/>
        <w:topLinePunct w:val="0"/>
        <w:bidi w:val="0"/>
        <w:spacing w:line="440" w:lineRule="exact"/>
        <w:ind w:firstLine="480" w:firstLineChars="200"/>
        <w:jc w:val="both"/>
        <w:outlineLvl w:val="9"/>
        <w:rPr>
          <w:rFonts w:ascii="宋体" w:hAnsi="宋体" w:cs="宋体"/>
          <w:sz w:val="24"/>
          <w:highlight w:val="none"/>
        </w:rPr>
      </w:pPr>
      <w:r>
        <w:rPr>
          <w:rFonts w:hint="eastAsia" w:ascii="宋体" w:hAnsi="宋体" w:cs="宋体"/>
          <w:sz w:val="24"/>
          <w:highlight w:val="none"/>
        </w:rPr>
        <w:t>（二）符合资格的供应商自行在有关公告网站下载采购文件。</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（三）采购文件下载时间：自本项目公告发布之日起至</w:t>
      </w:r>
      <w:r>
        <w:rPr>
          <w:rFonts w:hint="eastAsia" w:ascii="宋体" w:hAnsi="宋体" w:cs="宋体"/>
          <w:sz w:val="24"/>
          <w:highlight w:val="none"/>
          <w:lang w:val="en-US" w:eastAsia="zh-CN"/>
        </w:rPr>
        <w:t>2024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28</w:t>
      </w:r>
      <w:r>
        <w:rPr>
          <w:rFonts w:hint="eastAsia" w:ascii="宋体" w:hAnsi="宋体" w:cs="宋体"/>
          <w:sz w:val="24"/>
          <w:highlight w:val="none"/>
        </w:rPr>
        <w:t>日</w:t>
      </w:r>
      <w:r>
        <w:rPr>
          <w:rFonts w:hint="eastAsia" w:ascii="宋体" w:hAnsi="宋体" w:cs="宋体"/>
          <w:sz w:val="24"/>
          <w:highlight w:val="none"/>
          <w:lang w:val="en-US" w:eastAsia="zh-CN"/>
        </w:rPr>
        <w:t>9</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八、报名要求</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（一）报名方式：供应商自行获取采购文件后，自行制作参评文件，并在报名时间截止前提交参评文件发到指定邮箱（busbgs@126.com），参评文件格式要求详见第四部分《参评响应文件格式》。</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（二）报名时间：自本项目公告发布之日起至</w:t>
      </w:r>
      <w:r>
        <w:rPr>
          <w:rFonts w:hint="eastAsia" w:ascii="宋体" w:hAnsi="宋体" w:cs="宋体"/>
          <w:sz w:val="24"/>
          <w:highlight w:val="none"/>
          <w:lang w:val="en-US" w:eastAsia="zh-CN"/>
        </w:rPr>
        <w:t>2024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28</w:t>
      </w:r>
      <w:r>
        <w:rPr>
          <w:rFonts w:hint="eastAsia" w:ascii="宋体" w:hAnsi="宋体" w:cs="宋体"/>
          <w:sz w:val="24"/>
          <w:highlight w:val="none"/>
        </w:rPr>
        <w:t>日</w:t>
      </w:r>
      <w:r>
        <w:rPr>
          <w:rFonts w:hint="eastAsia" w:ascii="宋体" w:hAnsi="宋体" w:cs="宋体"/>
          <w:sz w:val="24"/>
          <w:highlight w:val="none"/>
          <w:lang w:val="en-US" w:eastAsia="zh-CN"/>
        </w:rPr>
        <w:t>9</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0，超时不接受任何供应商报名。</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九、项目评审</w:t>
      </w:r>
      <w:bookmarkStart w:id="0" w:name="_GoBack"/>
      <w:bookmarkEnd w:id="0"/>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（一）评审时间：</w:t>
      </w:r>
      <w:r>
        <w:rPr>
          <w:rFonts w:hint="eastAsia" w:ascii="宋体" w:hAnsi="宋体" w:cs="宋体"/>
          <w:sz w:val="24"/>
          <w:highlight w:val="none"/>
          <w:lang w:val="en-US" w:eastAsia="zh-CN"/>
        </w:rPr>
        <w:t>2024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28</w:t>
      </w:r>
      <w:r>
        <w:rPr>
          <w:rFonts w:hint="eastAsia" w:ascii="宋体" w:hAnsi="宋体" w:cs="宋体"/>
          <w:sz w:val="24"/>
          <w:highlight w:val="none"/>
        </w:rPr>
        <w:t>日下午</w:t>
      </w:r>
      <w:r>
        <w:rPr>
          <w:rFonts w:hint="eastAsia" w:ascii="宋体" w:hAnsi="宋体" w:cs="宋体"/>
          <w:sz w:val="24"/>
          <w:highlight w:val="none"/>
          <w:lang w:val="en-US" w:eastAsia="zh-CN"/>
        </w:rPr>
        <w:t>15:00</w:t>
      </w:r>
      <w:r>
        <w:rPr>
          <w:rFonts w:hint="eastAsia" w:ascii="宋体" w:hAnsi="宋体" w:cs="宋体"/>
          <w:sz w:val="24"/>
          <w:highlight w:val="none"/>
        </w:rPr>
        <w:t>。</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（二）评审地点：</w:t>
      </w:r>
      <w:r>
        <w:rPr>
          <w:rFonts w:hint="eastAsia" w:ascii="宋体" w:hAnsi="宋体" w:cs="宋体"/>
          <w:sz w:val="24"/>
          <w:highlight w:val="none"/>
          <w:lang w:val="en-US" w:eastAsia="zh-CN"/>
        </w:rPr>
        <w:t>中山市公共交通运输集团有限公司会议</w:t>
      </w:r>
      <w:r>
        <w:rPr>
          <w:rFonts w:hint="eastAsia" w:ascii="宋体" w:hAnsi="宋体" w:cs="宋体"/>
          <w:sz w:val="24"/>
          <w:highlight w:val="none"/>
        </w:rPr>
        <w:t>室，评审时供应商无需到场参加。</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十、评审结果公示</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评审结束后，采购人将</w:t>
      </w:r>
      <w:r>
        <w:rPr>
          <w:rFonts w:hint="eastAsia" w:ascii="宋体" w:hAnsi="宋体" w:cs="宋体"/>
          <w:sz w:val="24"/>
          <w:highlight w:val="none"/>
          <w:lang w:val="en-US" w:eastAsia="zh-CN"/>
        </w:rPr>
        <w:t>在</w:t>
      </w:r>
      <w:r>
        <w:rPr>
          <w:rFonts w:hint="eastAsia" w:ascii="宋体" w:hAnsi="宋体" w:cs="宋体"/>
          <w:sz w:val="24"/>
          <w:highlight w:val="none"/>
        </w:rPr>
        <w:t>官方网站（https://www.zsbus.cn/infolist.aspx?cid=35）</w:t>
      </w:r>
      <w:r>
        <w:rPr>
          <w:rFonts w:hint="eastAsia" w:ascii="宋体" w:hAnsi="宋体" w:cs="宋体"/>
          <w:sz w:val="24"/>
          <w:highlight w:val="none"/>
          <w:lang w:val="en-US" w:eastAsia="zh-CN"/>
        </w:rPr>
        <w:t>及中山产权服务网（http://zscq.zsnews.cn/）</w:t>
      </w:r>
      <w:r>
        <w:rPr>
          <w:rFonts w:hint="eastAsia" w:ascii="宋体" w:hAnsi="宋体" w:cs="宋体"/>
          <w:sz w:val="24"/>
          <w:highlight w:val="none"/>
        </w:rPr>
        <w:t>上进行结果公示，公示期</w:t>
      </w:r>
      <w:r>
        <w:rPr>
          <w:rFonts w:hint="eastAsia" w:ascii="宋体" w:hAnsi="宋体" w:cs="宋体"/>
          <w:sz w:val="24"/>
          <w:highlight w:val="none"/>
          <w:lang w:val="en-US" w:eastAsia="zh-CN"/>
        </w:rPr>
        <w:t>3</w:t>
      </w:r>
      <w:r>
        <w:rPr>
          <w:rFonts w:hint="eastAsia" w:ascii="宋体" w:hAnsi="宋体" w:cs="宋体"/>
          <w:sz w:val="24"/>
          <w:highlight w:val="none"/>
        </w:rPr>
        <w:t>日。如果参评供应商对此次评审结果有异议的，可在公示期内向采购人书面提出，但需对异议内容的真实性承担责任。采购人应自收到书面异议原件之日起3日内作出答复，并在答复前暂停本项目评选。</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十一、采购人联系方式</w:t>
      </w:r>
    </w:p>
    <w:p>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rPr>
        <w:t>（一）采购人联系电话：</w:t>
      </w:r>
      <w:r>
        <w:rPr>
          <w:rFonts w:hint="eastAsia" w:ascii="宋体" w:hAnsi="宋体" w:cs="宋体"/>
          <w:sz w:val="24"/>
          <w:highlight w:val="none"/>
          <w:lang w:val="en-US" w:eastAsia="zh-CN"/>
        </w:rPr>
        <w:t>冯先生18219013921</w:t>
      </w:r>
    </w:p>
    <w:p>
      <w:pPr>
        <w:keepNext w:val="0"/>
        <w:keepLines w:val="0"/>
        <w:pageBreakBefore w:val="0"/>
        <w:kinsoku/>
        <w:overflowPunct/>
        <w:topLinePunct w:val="0"/>
        <w:bidi w:val="0"/>
        <w:spacing w:line="440" w:lineRule="exact"/>
        <w:ind w:firstLine="480" w:firstLineChars="200"/>
        <w:jc w:val="left"/>
        <w:outlineLvl w:val="9"/>
        <w:rPr>
          <w:rFonts w:hint="eastAsia" w:ascii="宋体" w:hAnsi="宋体" w:eastAsia="宋体" w:cs="宋体"/>
          <w:bCs/>
          <w:sz w:val="44"/>
          <w:szCs w:val="32"/>
          <w:highlight w:val="none"/>
          <w:lang w:val="en-US" w:eastAsia="zh-CN"/>
        </w:rPr>
      </w:pPr>
      <w:r>
        <w:rPr>
          <w:rFonts w:hint="eastAsia" w:ascii="宋体" w:hAnsi="宋体" w:cs="宋体"/>
          <w:sz w:val="24"/>
          <w:highlight w:val="none"/>
        </w:rPr>
        <w:t>（二）采购人联系地址：中山市南区城南三路38号</w:t>
      </w:r>
    </w:p>
    <w:p>
      <w:pPr>
        <w:keepNext w:val="0"/>
        <w:keepLines w:val="0"/>
        <w:pageBreakBefore w:val="0"/>
        <w:kinsoku/>
        <w:overflowPunct/>
        <w:topLinePunct w:val="0"/>
        <w:bidi w:val="0"/>
        <w:spacing w:line="440" w:lineRule="exact"/>
        <w:jc w:val="left"/>
        <w:outlineLvl w:val="9"/>
        <w:rPr>
          <w:rFonts w:ascii="宋体" w:hAnsi="宋体" w:cs="宋体"/>
          <w:sz w:val="24"/>
          <w:highlight w:val="none"/>
        </w:rPr>
      </w:pPr>
    </w:p>
    <w:p>
      <w:pPr>
        <w:keepNext w:val="0"/>
        <w:keepLines w:val="0"/>
        <w:pageBreakBefore w:val="0"/>
        <w:kinsoku/>
        <w:overflowPunct/>
        <w:topLinePunct w:val="0"/>
        <w:bidi w:val="0"/>
        <w:spacing w:line="440" w:lineRule="exact"/>
        <w:jc w:val="left"/>
        <w:outlineLvl w:val="9"/>
        <w:rPr>
          <w:rFonts w:ascii="宋体" w:hAnsi="宋体" w:cs="宋体"/>
          <w:sz w:val="24"/>
          <w:highlight w:val="none"/>
        </w:rPr>
      </w:pPr>
    </w:p>
    <w:p>
      <w:pPr>
        <w:keepNext w:val="0"/>
        <w:keepLines w:val="0"/>
        <w:pageBreakBefore w:val="0"/>
        <w:kinsoku/>
        <w:overflowPunct/>
        <w:topLinePunct w:val="0"/>
        <w:bidi w:val="0"/>
        <w:adjustRightInd w:val="0"/>
        <w:snapToGrid w:val="0"/>
        <w:spacing w:line="440" w:lineRule="exact"/>
        <w:jc w:val="right"/>
        <w:outlineLvl w:val="9"/>
        <w:rPr>
          <w:rFonts w:ascii="宋体" w:hAnsi="宋体"/>
          <w:bCs/>
          <w:sz w:val="24"/>
          <w:highlight w:val="none"/>
        </w:rPr>
      </w:pPr>
      <w:r>
        <w:rPr>
          <w:rFonts w:hint="eastAsia" w:ascii="宋体" w:hAnsi="宋体"/>
          <w:kern w:val="0"/>
          <w:sz w:val="24"/>
          <w:highlight w:val="none"/>
        </w:rPr>
        <w:t>中山市公共交通运输集团有限公司</w:t>
      </w:r>
    </w:p>
    <w:p>
      <w:pPr>
        <w:keepNext w:val="0"/>
        <w:keepLines w:val="0"/>
        <w:pageBreakBefore w:val="0"/>
        <w:widowControl/>
        <w:tabs>
          <w:tab w:val="left" w:pos="142"/>
          <w:tab w:val="left" w:pos="426"/>
        </w:tabs>
        <w:kinsoku/>
        <w:overflowPunct/>
        <w:topLinePunct w:val="0"/>
        <w:bidi w:val="0"/>
        <w:adjustRightInd w:val="0"/>
        <w:spacing w:line="440" w:lineRule="exact"/>
        <w:ind w:firstLine="6720" w:firstLineChars="2800"/>
        <w:jc w:val="left"/>
        <w:outlineLvl w:val="9"/>
        <w:rPr>
          <w:rFonts w:hint="default" w:ascii="宋体" w:hAnsi="宋体" w:eastAsia="宋体"/>
          <w:bCs/>
          <w:kern w:val="0"/>
          <w:sz w:val="24"/>
          <w:highlight w:val="none"/>
          <w:lang w:val="en-US" w:eastAsia="zh-CN"/>
        </w:rPr>
        <w:sectPr>
          <w:headerReference r:id="rId4" w:type="first"/>
          <w:footerReference r:id="rId6" w:type="first"/>
          <w:headerReference r:id="rId3" w:type="default"/>
          <w:footerReference r:id="rId5" w:type="default"/>
          <w:pgSz w:w="11906" w:h="16838"/>
          <w:pgMar w:top="1134" w:right="991" w:bottom="1134" w:left="1418" w:header="851" w:footer="850" w:gutter="0"/>
          <w:paperSrc w:first="7"/>
          <w:pgNumType w:fmt="decimal"/>
          <w:cols w:space="0" w:num="1"/>
          <w:rtlGutter w:val="0"/>
          <w:docGrid w:linePitch="312" w:charSpace="0"/>
        </w:sectPr>
      </w:pPr>
      <w:r>
        <w:rPr>
          <w:rFonts w:hint="eastAsia" w:ascii="宋体" w:hAnsi="宋体"/>
          <w:sz w:val="24"/>
          <w:highlight w:val="none"/>
          <w:lang w:val="en-US" w:eastAsia="zh-CN"/>
        </w:rPr>
        <w:t>2024</w:t>
      </w:r>
      <w:r>
        <w:rPr>
          <w:rFonts w:hint="eastAsia" w:ascii="宋体" w:hAnsi="宋体"/>
          <w:sz w:val="24"/>
          <w:highlight w:val="none"/>
        </w:rPr>
        <w:t>年</w:t>
      </w:r>
      <w:r>
        <w:rPr>
          <w:rFonts w:hint="eastAsia" w:ascii="宋体" w:hAnsi="宋体"/>
          <w:sz w:val="24"/>
          <w:highlight w:val="none"/>
          <w:lang w:val="en-US" w:eastAsia="zh-CN"/>
        </w:rPr>
        <w:t>3月22日</w:t>
      </w:r>
    </w:p>
    <w:p>
      <w:pPr>
        <w:pStyle w:val="1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宋体" w:hAnsi="宋体" w:cs="宋体"/>
          <w:b/>
          <w:bCs/>
          <w:sz w:val="24"/>
          <w:highlight w:val="none"/>
        </w:rPr>
      </w:pPr>
      <w:r>
        <w:rPr>
          <w:rFonts w:hint="eastAsia" w:ascii="宋体" w:hAnsi="宋体" w:cs="宋体"/>
          <w:b/>
          <w:bCs/>
          <w:kern w:val="2"/>
          <w:sz w:val="44"/>
          <w:szCs w:val="44"/>
          <w:highlight w:val="none"/>
        </w:rPr>
        <w:t>第二部分</w:t>
      </w:r>
      <w:r>
        <w:rPr>
          <w:rFonts w:ascii="宋体" w:hAnsi="宋体" w:cs="宋体"/>
          <w:b/>
          <w:bCs/>
          <w:kern w:val="2"/>
          <w:sz w:val="44"/>
          <w:szCs w:val="44"/>
          <w:highlight w:val="none"/>
        </w:rPr>
        <w:t xml:space="preserve">  </w:t>
      </w:r>
      <w:r>
        <w:rPr>
          <w:rFonts w:hint="eastAsia" w:ascii="宋体" w:hAnsi="宋体" w:cs="宋体"/>
          <w:b/>
          <w:bCs/>
          <w:kern w:val="2"/>
          <w:sz w:val="44"/>
          <w:szCs w:val="44"/>
          <w:highlight w:val="none"/>
        </w:rPr>
        <w:t>用户需求书</w:t>
      </w:r>
    </w:p>
    <w:p>
      <w:pPr>
        <w:pStyle w:val="15"/>
        <w:keepNext w:val="0"/>
        <w:keepLines w:val="0"/>
        <w:pageBreakBefore w:val="0"/>
        <w:kinsoku/>
        <w:overflowPunct/>
        <w:topLinePunct w:val="0"/>
        <w:bidi w:val="0"/>
        <w:spacing w:after="0" w:line="440" w:lineRule="exact"/>
        <w:ind w:firstLine="0" w:firstLineChars="0"/>
        <w:outlineLvl w:val="9"/>
        <w:rPr>
          <w:rFonts w:ascii="宋体" w:hAnsi="宋体" w:cs="宋体"/>
          <w:bCs/>
          <w:sz w:val="24"/>
          <w:highlight w:val="none"/>
        </w:rPr>
      </w:pPr>
    </w:p>
    <w:p>
      <w:pPr>
        <w:widowControl/>
        <w:spacing w:line="440" w:lineRule="exact"/>
        <w:ind w:firstLine="480" w:firstLineChars="200"/>
        <w:jc w:val="left"/>
        <w:rPr>
          <w:rFonts w:hint="eastAsia" w:ascii="宋体" w:hAnsi="宋体" w:eastAsia="宋体" w:cs="宋体"/>
          <w:bCs/>
          <w:sz w:val="24"/>
          <w:szCs w:val="24"/>
          <w:lang w:val="en-US" w:eastAsia="zh-CN"/>
        </w:rPr>
      </w:pPr>
      <w:r>
        <w:rPr>
          <w:rFonts w:hint="eastAsia" w:ascii="宋体" w:hAnsi="宋体" w:cs="宋体"/>
          <w:bCs/>
          <w:sz w:val="24"/>
          <w:szCs w:val="24"/>
        </w:rPr>
        <w:t>一、网络舆情监测系统</w:t>
      </w:r>
      <w:r>
        <w:rPr>
          <w:rFonts w:hint="eastAsia" w:ascii="宋体" w:hAnsi="宋体" w:cs="宋体"/>
          <w:bCs/>
          <w:sz w:val="24"/>
          <w:szCs w:val="24"/>
          <w:lang w:val="en-US" w:eastAsia="zh-CN"/>
        </w:rPr>
        <w:t>采购</w:t>
      </w:r>
      <w:r>
        <w:rPr>
          <w:rFonts w:hint="eastAsia" w:ascii="宋体" w:hAnsi="宋体" w:cs="宋体"/>
          <w:bCs/>
          <w:sz w:val="24"/>
          <w:szCs w:val="24"/>
        </w:rPr>
        <w:t>项目服务</w:t>
      </w:r>
      <w:r>
        <w:rPr>
          <w:rFonts w:hint="eastAsia" w:ascii="宋体" w:hAnsi="宋体" w:cs="宋体"/>
          <w:bCs/>
          <w:sz w:val="24"/>
          <w:szCs w:val="24"/>
          <w:lang w:val="en-US" w:eastAsia="zh-CN"/>
        </w:rPr>
        <w:t>需求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（一）为采购人提供网络舆情监测系统，对</w:t>
      </w:r>
      <w:r>
        <w:rPr>
          <w:rFonts w:hint="eastAsia" w:ascii="宋体" w:hAnsi="宋体" w:cs="宋体"/>
          <w:sz w:val="24"/>
          <w:highlight w:val="none"/>
          <w:lang w:val="en-US" w:eastAsia="zh-CN"/>
        </w:rPr>
        <w:t>采购人提供的关键字词进行多渠道多方位的监测。</w:t>
      </w:r>
      <w:r>
        <w:rPr>
          <w:rFonts w:hint="eastAsia" w:ascii="宋体" w:hAnsi="宋体" w:eastAsia="宋体" w:cs="宋体"/>
          <w:i w:val="0"/>
          <w:iCs w:val="0"/>
          <w:color w:val="000000"/>
          <w:kern w:val="0"/>
          <w:sz w:val="24"/>
          <w:szCs w:val="24"/>
          <w:u w:val="none"/>
          <w:lang w:val="en-US" w:eastAsia="zh-CN" w:bidi="ar"/>
        </w:rPr>
        <w:t>系统监测范围可覆盖网站、微博、微信、论坛、贴吧、App、自媒体、报刊数据、短视频平台等全网全媒体。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（二）网络舆情系统能够在舆情出现后进行实时舆情，将舆情相关情况再半小时内容以微信、邮件、短信等形式发送到采购人相关人员的移动端，及时提醒用户有关的舆情信息。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bCs/>
          <w:sz w:val="24"/>
          <w:szCs w:val="24"/>
          <w:lang w:eastAsia="zh-CN"/>
        </w:rPr>
      </w:pPr>
      <w:r>
        <w:rPr>
          <w:rFonts w:hint="eastAsia" w:ascii="宋体" w:hAnsi="宋体" w:cs="宋体"/>
          <w:sz w:val="24"/>
          <w:highlight w:val="none"/>
          <w:lang w:val="en-US" w:eastAsia="zh-CN"/>
        </w:rPr>
        <w:t>（三）网络舆情监测系统要能支持多种关键字语法，包括“或”、“与”、“非”以及括号，可自由、准确设定监测信息的范围。另外，系统支持一段文字作为关键字进行信息查询和监测。同时在关键字词的范围设置上能够有层级间的区别监测。</w:t>
      </w:r>
    </w:p>
    <w:p>
      <w:pPr>
        <w:pStyle w:val="8"/>
        <w:keepNext w:val="0"/>
        <w:keepLines w:val="0"/>
        <w:pageBreakBefore w:val="0"/>
        <w:kinsoku/>
        <w:overflowPunct/>
        <w:topLinePunct w:val="0"/>
        <w:bidi w:val="0"/>
        <w:spacing w:after="0" w:line="440" w:lineRule="exact"/>
        <w:ind w:left="0" w:leftChars="0" w:firstLine="480" w:firstLineChars="200"/>
        <w:outlineLvl w:val="9"/>
        <w:rPr>
          <w:rFonts w:hint="eastAsia" w:ascii="宋体" w:hAnsi="宋体" w:cs="宋体"/>
          <w:sz w:val="24"/>
          <w:highlight w:val="none"/>
          <w:lang w:val="en-US" w:eastAsia="zh-CN"/>
        </w:rPr>
      </w:pPr>
      <w:r>
        <w:rPr>
          <w:rFonts w:hint="eastAsia" w:ascii="宋体" w:hAnsi="宋体" w:cs="宋体"/>
          <w:bCs/>
          <w:sz w:val="24"/>
          <w:szCs w:val="24"/>
          <w:lang w:val="en-US" w:eastAsia="zh-CN"/>
        </w:rPr>
        <w:t>（四）</w:t>
      </w:r>
      <w:r>
        <w:rPr>
          <w:rFonts w:hint="eastAsia" w:ascii="宋体" w:hAnsi="宋体" w:cs="宋体"/>
          <w:sz w:val="24"/>
          <w:highlight w:val="none"/>
          <w:lang w:val="en-US" w:eastAsia="zh-CN"/>
        </w:rPr>
        <w:t>根据对敏感信息来源、转载量、转载地址、地域分布、信息发布者等相关信息元素的跟踪，进行倾向性与趁势分析。</w:t>
      </w:r>
    </w:p>
    <w:p>
      <w:pPr>
        <w:pStyle w:val="8"/>
        <w:keepNext w:val="0"/>
        <w:keepLines w:val="0"/>
        <w:pageBreakBefore w:val="0"/>
        <w:kinsoku/>
        <w:overflowPunct/>
        <w:topLinePunct w:val="0"/>
        <w:bidi w:val="0"/>
        <w:spacing w:after="0" w:line="440" w:lineRule="exact"/>
        <w:ind w:left="0" w:leftChars="0" w:firstLine="480" w:firstLineChars="200"/>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（五）根据文本的情感词汇或者内容的语气等信息，对文本进行情感分析和评价，预判相关的网络舆情信息的层次，准确的判定网络内容的敏感程度。</w:t>
      </w:r>
    </w:p>
    <w:p>
      <w:pPr>
        <w:widowControl/>
        <w:spacing w:line="440" w:lineRule="exact"/>
        <w:ind w:firstLine="480" w:firstLineChars="200"/>
        <w:jc w:val="left"/>
        <w:rPr>
          <w:rFonts w:hint="default" w:ascii="宋体" w:hAnsi="宋体" w:cs="宋体"/>
          <w:bCs/>
          <w:sz w:val="24"/>
          <w:szCs w:val="24"/>
          <w:lang w:val="en-US" w:eastAsia="zh-CN"/>
        </w:rPr>
      </w:pPr>
      <w:r>
        <w:rPr>
          <w:rFonts w:hint="eastAsia" w:ascii="宋体" w:hAnsi="宋体" w:cs="宋体"/>
          <w:bCs/>
          <w:sz w:val="24"/>
          <w:szCs w:val="24"/>
          <w:lang w:val="en-US" w:eastAsia="zh-CN"/>
        </w:rPr>
        <w:t>二、服务期限：自签订合同之日起一年</w:t>
      </w:r>
    </w:p>
    <w:p>
      <w:pPr>
        <w:widowControl/>
        <w:spacing w:line="440" w:lineRule="exact"/>
        <w:ind w:firstLine="480" w:firstLineChars="200"/>
        <w:jc w:val="left"/>
        <w:rPr>
          <w:rFonts w:hint="eastAsia" w:ascii="宋体" w:hAnsi="宋体" w:cs="宋体"/>
          <w:bCs/>
          <w:sz w:val="24"/>
          <w:szCs w:val="24"/>
        </w:rPr>
      </w:pPr>
      <w:r>
        <w:rPr>
          <w:rFonts w:hint="eastAsia" w:ascii="宋体" w:hAnsi="宋体" w:cs="宋体"/>
          <w:bCs/>
          <w:sz w:val="24"/>
          <w:szCs w:val="24"/>
          <w:lang w:val="en-US" w:eastAsia="zh-CN"/>
        </w:rPr>
        <w:t>三、采购控制价</w:t>
      </w:r>
      <w:r>
        <w:rPr>
          <w:rFonts w:hint="eastAsia" w:ascii="宋体" w:hAnsi="宋体" w:cs="宋体"/>
          <w:bCs/>
          <w:sz w:val="24"/>
          <w:szCs w:val="24"/>
          <w:lang w:eastAsia="zh-CN"/>
        </w:rPr>
        <w:t>：</w:t>
      </w:r>
      <w:r>
        <w:rPr>
          <w:rFonts w:hint="eastAsia" w:ascii="宋体" w:hAnsi="宋体" w:cs="宋体"/>
          <w:bCs/>
          <w:sz w:val="24"/>
          <w:szCs w:val="24"/>
        </w:rPr>
        <w:t>总费用</w:t>
      </w:r>
      <w:r>
        <w:rPr>
          <w:rFonts w:hint="eastAsia" w:ascii="宋体" w:hAnsi="宋体" w:cs="宋体"/>
          <w:bCs/>
          <w:sz w:val="24"/>
          <w:szCs w:val="24"/>
          <w:lang w:val="en-US" w:eastAsia="zh-CN"/>
        </w:rPr>
        <w:t>不高于¥51600.00</w:t>
      </w:r>
      <w:r>
        <w:rPr>
          <w:rFonts w:hint="eastAsia" w:ascii="宋体" w:hAnsi="宋体" w:cs="宋体"/>
          <w:bCs/>
          <w:sz w:val="24"/>
          <w:szCs w:val="24"/>
        </w:rPr>
        <w:t>元。</w:t>
      </w:r>
    </w:p>
    <w:p>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eastAsia" w:asciiTheme="minorEastAsia" w:hAnsiTheme="minorEastAsia" w:eastAsiaTheme="minorEastAsia" w:cstheme="minorEastAsia"/>
          <w:sz w:val="24"/>
          <w:highlight w:val="none"/>
        </w:rPr>
      </w:pPr>
      <w:r>
        <w:rPr>
          <w:rFonts w:hint="eastAsia" w:ascii="宋体" w:hAnsi="宋体" w:cs="宋体"/>
          <w:bCs/>
          <w:sz w:val="24"/>
          <w:szCs w:val="24"/>
          <w:highlight w:val="none"/>
          <w:lang w:val="en-US" w:eastAsia="zh-CN"/>
        </w:rPr>
        <w:t>四、</w:t>
      </w:r>
      <w:r>
        <w:rPr>
          <w:rFonts w:hint="eastAsia" w:ascii="宋体" w:hAnsi="宋体" w:cs="宋体"/>
          <w:bCs/>
          <w:sz w:val="24"/>
          <w:highlight w:val="none"/>
        </w:rPr>
        <w:t>付款方式</w:t>
      </w:r>
      <w:r>
        <w:rPr>
          <w:rFonts w:hint="eastAsia" w:ascii="宋体" w:hAnsi="宋体" w:cs="宋体"/>
          <w:bCs/>
          <w:sz w:val="24"/>
          <w:highlight w:val="none"/>
          <w:lang w:eastAsia="zh-CN"/>
        </w:rPr>
        <w:t>：</w:t>
      </w:r>
      <w:r>
        <w:rPr>
          <w:rFonts w:hint="eastAsia" w:ascii="宋体" w:hAnsi="宋体" w:eastAsia="宋体" w:cs="宋体"/>
          <w:sz w:val="24"/>
          <w:szCs w:val="24"/>
          <w:highlight w:val="none"/>
        </w:rPr>
        <w:t>签订</w:t>
      </w:r>
      <w:r>
        <w:rPr>
          <w:rFonts w:hint="eastAsia" w:ascii="宋体" w:hAnsi="宋体" w:cs="宋体"/>
          <w:bCs/>
          <w:sz w:val="24"/>
          <w:szCs w:val="24"/>
          <w:highlight w:val="none"/>
          <w:lang w:val="en-US" w:eastAsia="zh-CN"/>
        </w:rPr>
        <w:t>合同</w:t>
      </w:r>
      <w:r>
        <w:rPr>
          <w:rFonts w:hint="eastAsia" w:ascii="宋体" w:hAnsi="宋体" w:eastAsia="宋体" w:cs="宋体"/>
          <w:sz w:val="24"/>
          <w:szCs w:val="24"/>
          <w:highlight w:val="none"/>
        </w:rPr>
        <w:t>之日起30日内</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向</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rPr>
        <w:t>支付</w:t>
      </w:r>
      <w:r>
        <w:rPr>
          <w:rFonts w:hint="eastAsia" w:ascii="宋体" w:hAnsi="宋体" w:cs="宋体"/>
          <w:sz w:val="24"/>
          <w:szCs w:val="24"/>
          <w:highlight w:val="none"/>
          <w:lang w:val="en-US" w:eastAsia="zh-CN"/>
        </w:rPr>
        <w:t>部分费用，</w:t>
      </w:r>
      <w:r>
        <w:rPr>
          <w:rFonts w:hint="eastAsia" w:asciiTheme="minorEastAsia" w:hAnsiTheme="minorEastAsia" w:eastAsiaTheme="minorEastAsia" w:cstheme="minorEastAsia"/>
          <w:sz w:val="24"/>
          <w:highlight w:val="none"/>
          <w:lang w:val="en-US" w:eastAsia="zh-CN"/>
        </w:rPr>
        <w:t>剩余1万元在合同终止后30</w:t>
      </w:r>
      <w:r>
        <w:rPr>
          <w:rFonts w:hint="eastAsia" w:asciiTheme="minorEastAsia" w:hAnsiTheme="minorEastAsia" w:eastAsiaTheme="minorEastAsia" w:cstheme="minorEastAsia"/>
          <w:sz w:val="24"/>
          <w:highlight w:val="none"/>
        </w:rPr>
        <w:t>个工作日内</w:t>
      </w:r>
      <w:r>
        <w:rPr>
          <w:rFonts w:hint="eastAsia" w:asciiTheme="minorEastAsia" w:hAnsiTheme="minorEastAsia" w:eastAsiaTheme="minorEastAsia" w:cstheme="minorEastAsia"/>
          <w:sz w:val="24"/>
          <w:highlight w:val="none"/>
          <w:lang w:val="en-US" w:eastAsia="zh-CN"/>
        </w:rPr>
        <w:t>一次性支付</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lang w:eastAsia="zh-CN"/>
        </w:rPr>
        <w:t>收款前应开具</w:t>
      </w:r>
      <w:r>
        <w:rPr>
          <w:rFonts w:hint="eastAsia" w:ascii="宋体" w:hAnsi="宋体" w:cs="宋体"/>
          <w:sz w:val="24"/>
          <w:szCs w:val="24"/>
          <w:highlight w:val="none"/>
          <w:lang w:val="en-US" w:eastAsia="zh-CN"/>
        </w:rPr>
        <w:t>合法</w:t>
      </w:r>
      <w:r>
        <w:rPr>
          <w:rFonts w:hint="eastAsia" w:ascii="宋体" w:hAnsi="宋体" w:eastAsia="宋体" w:cs="宋体"/>
          <w:sz w:val="24"/>
          <w:szCs w:val="24"/>
          <w:highlight w:val="none"/>
          <w:lang w:eastAsia="zh-CN"/>
        </w:rPr>
        <w:t>等额有效</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eastAsia="zh-CN"/>
        </w:rPr>
        <w:t>发票。</w:t>
      </w:r>
    </w:p>
    <w:p>
      <w:pPr>
        <w:keepNext w:val="0"/>
        <w:keepLines w:val="0"/>
        <w:pageBreakBefore w:val="0"/>
        <w:kinsoku/>
        <w:overflowPunct/>
        <w:topLinePunct w:val="0"/>
        <w:bidi w:val="0"/>
        <w:spacing w:line="440" w:lineRule="exact"/>
        <w:ind w:firstLine="480" w:firstLineChars="200"/>
        <w:outlineLvl w:val="9"/>
        <w:rPr>
          <w:rFonts w:hint="eastAsia" w:ascii="宋体" w:hAnsi="宋体" w:eastAsia="宋体" w:cs="宋体"/>
          <w:bCs/>
          <w:sz w:val="24"/>
          <w:szCs w:val="24"/>
          <w:highlight w:val="yellow"/>
          <w:lang w:val="en-US" w:eastAsia="zh-CN"/>
        </w:rPr>
      </w:pPr>
    </w:p>
    <w:p>
      <w:pPr>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pStyle w:val="15"/>
        <w:keepNext w:val="0"/>
        <w:keepLines w:val="0"/>
        <w:pageBreakBefore w:val="0"/>
        <w:widowControl w:val="0"/>
        <w:kinsoku/>
        <w:wordWrap/>
        <w:overflowPunct/>
        <w:topLinePunct w:val="0"/>
        <w:autoSpaceDE/>
        <w:autoSpaceDN/>
        <w:bidi w:val="0"/>
        <w:adjustRightInd/>
        <w:snapToGrid/>
        <w:spacing w:after="0" w:line="240" w:lineRule="auto"/>
        <w:ind w:firstLine="945" w:firstLineChars="214"/>
        <w:jc w:val="center"/>
        <w:textAlignment w:val="auto"/>
        <w:outlineLvl w:val="9"/>
        <w:rPr>
          <w:rFonts w:hint="eastAsia" w:ascii="宋体" w:hAnsi="宋体" w:cs="宋体"/>
          <w:b/>
          <w:bCs/>
          <w:sz w:val="44"/>
          <w:szCs w:val="44"/>
          <w:highlight w:val="none"/>
        </w:rPr>
      </w:pPr>
    </w:p>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宋体" w:hAnsi="宋体" w:cs="宋体"/>
          <w:b/>
          <w:bCs/>
          <w:sz w:val="44"/>
          <w:szCs w:val="44"/>
          <w:highlight w:val="none"/>
        </w:rPr>
      </w:pPr>
    </w:p>
    <w:p>
      <w:pPr>
        <w:rPr>
          <w:rFonts w:hint="eastAsia"/>
        </w:rPr>
      </w:pPr>
    </w:p>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宋体" w:hAnsi="宋体" w:cs="宋体"/>
          <w:b/>
          <w:bCs/>
          <w:sz w:val="44"/>
          <w:szCs w:val="44"/>
          <w:highlight w:val="none"/>
        </w:rPr>
      </w:pPr>
    </w:p>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ascii="宋体" w:hAnsi="宋体" w:cs="宋体"/>
          <w:b/>
          <w:bCs/>
          <w:sz w:val="44"/>
          <w:szCs w:val="44"/>
          <w:highlight w:val="none"/>
        </w:rPr>
      </w:pPr>
      <w:r>
        <w:rPr>
          <w:rFonts w:hint="eastAsia" w:ascii="宋体" w:hAnsi="宋体" w:cs="宋体"/>
          <w:b/>
          <w:bCs/>
          <w:sz w:val="44"/>
          <w:szCs w:val="44"/>
          <w:highlight w:val="none"/>
        </w:rPr>
        <w:t>第三部分  评审标准</w:t>
      </w:r>
    </w:p>
    <w:p>
      <w:pPr>
        <w:keepNext w:val="0"/>
        <w:keepLines w:val="0"/>
        <w:pageBreakBefore w:val="0"/>
        <w:kinsoku/>
        <w:overflowPunct/>
        <w:topLinePunct w:val="0"/>
        <w:bidi w:val="0"/>
        <w:adjustRightInd w:val="0"/>
        <w:snapToGrid w:val="0"/>
        <w:spacing w:line="440" w:lineRule="exact"/>
        <w:outlineLvl w:val="9"/>
        <w:rPr>
          <w:rFonts w:ascii="宋体" w:hAnsi="宋体" w:cs="宋体"/>
          <w:b/>
          <w:bCs/>
          <w:sz w:val="24"/>
          <w:highlight w:val="none"/>
        </w:rPr>
      </w:pPr>
    </w:p>
    <w:p>
      <w:pPr>
        <w:pStyle w:val="15"/>
        <w:keepNext w:val="0"/>
        <w:keepLines w:val="0"/>
        <w:pageBreakBefore w:val="0"/>
        <w:kinsoku/>
        <w:overflowPunct/>
        <w:topLinePunct w:val="0"/>
        <w:bidi w:val="0"/>
        <w:spacing w:after="0" w:line="440" w:lineRule="exact"/>
        <w:ind w:firstLine="480" w:firstLineChars="200"/>
        <w:outlineLvl w:val="9"/>
        <w:rPr>
          <w:rFonts w:hint="eastAsia" w:ascii="宋体" w:hAnsi="宋体" w:eastAsia="宋体" w:cs="宋体"/>
          <w:lang w:val="en-US" w:eastAsia="zh-CN"/>
        </w:rPr>
      </w:pPr>
      <w:r>
        <w:rPr>
          <w:rFonts w:hint="eastAsia" w:ascii="宋体" w:hAnsi="宋体" w:cs="宋体"/>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二、评审标准为：资格评审+综合评审，共2个环节，评标委员会先进行资格评审，再进行综合评审。只有评审结论为“通过”的参评供应商才能进入综合评审。</w:t>
      </w:r>
    </w:p>
    <w:p>
      <w:pPr>
        <w:pStyle w:val="15"/>
        <w:keepNext w:val="0"/>
        <w:keepLines w:val="0"/>
        <w:pageBreakBefore w:val="0"/>
        <w:kinsoku/>
        <w:overflowPunct/>
        <w:topLinePunct w:val="0"/>
        <w:bidi w:val="0"/>
        <w:spacing w:after="0"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三、资格评审环节由评标委员会全体成员对照《资格评审表》和供应商提交的参评文件共同评定，采取“一票否决”</w:t>
      </w:r>
      <w:r>
        <w:rPr>
          <w:rFonts w:hint="eastAsia" w:ascii="宋体" w:hAnsi="宋体" w:cs="宋体"/>
          <w:sz w:val="24"/>
          <w:highlight w:val="none"/>
          <w:lang w:val="en-US" w:eastAsia="zh-CN"/>
        </w:rPr>
        <w:t>方式</w:t>
      </w:r>
      <w:r>
        <w:rPr>
          <w:rFonts w:hint="eastAsia" w:ascii="宋体" w:hAnsi="宋体" w:cs="宋体"/>
          <w:sz w:val="24"/>
          <w:highlight w:val="none"/>
        </w:rPr>
        <w:t>。</w:t>
      </w:r>
    </w:p>
    <w:p>
      <w:pPr>
        <w:keepNext w:val="0"/>
        <w:keepLines w:val="0"/>
        <w:pageBreakBefore w:val="0"/>
        <w:widowControl/>
        <w:kinsoku/>
        <w:overflowPunct/>
        <w:topLinePunct w:val="0"/>
        <w:bidi w:val="0"/>
        <w:spacing w:line="440" w:lineRule="exact"/>
        <w:ind w:firstLine="480" w:firstLineChars="200"/>
        <w:jc w:val="left"/>
        <w:outlineLvl w:val="9"/>
        <w:rPr>
          <w:rFonts w:ascii="宋体" w:hAnsi="宋体" w:cs="宋体"/>
          <w:b/>
          <w:bCs/>
          <w:szCs w:val="21"/>
          <w:highlight w:val="none"/>
        </w:rPr>
      </w:pPr>
      <w:r>
        <w:rPr>
          <w:rFonts w:hint="eastAsia" w:ascii="宋体" w:hAnsi="宋体" w:cs="宋体"/>
          <w:sz w:val="24"/>
          <w:highlight w:val="none"/>
        </w:rPr>
        <w:t>四、综合评审：</w:t>
      </w:r>
      <w:r>
        <w:rPr>
          <w:rFonts w:hint="eastAsia" w:ascii="宋体" w:hAnsi="宋体" w:cs="宋体"/>
          <w:sz w:val="24"/>
          <w:szCs w:val="24"/>
          <w:highlight w:val="none"/>
        </w:rPr>
        <w:t>技术商务评审+价格评审</w:t>
      </w:r>
      <w:r>
        <w:rPr>
          <w:rFonts w:ascii="宋体" w:hAnsi="宋体" w:cs="宋体"/>
          <w:sz w:val="24"/>
          <w:szCs w:val="24"/>
          <w:highlight w:val="none"/>
        </w:rPr>
        <w:t>，满分为100分，评分分配如下</w:t>
      </w:r>
      <w:r>
        <w:rPr>
          <w:rFonts w:hint="eastAsia" w:ascii="宋体" w:hAnsi="宋体" w:cs="宋体"/>
          <w:sz w:val="24"/>
          <w:szCs w:val="24"/>
          <w:highlight w:val="none"/>
        </w:rPr>
        <w:t>：</w:t>
      </w:r>
    </w:p>
    <w:tbl>
      <w:tblPr>
        <w:tblStyle w:val="16"/>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auto"/>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rPr>
              <w:t>技术商务评分</w:t>
            </w:r>
          </w:p>
        </w:tc>
        <w:tc>
          <w:tcPr>
            <w:tcW w:w="2536" w:type="dxa"/>
            <w:tcBorders>
              <w:tl2br w:val="nil"/>
              <w:tr2bl w:val="nil"/>
            </w:tcBorders>
            <w:shd w:val="clear" w:color="auto" w:fill="auto"/>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50</w:t>
            </w:r>
            <w:r>
              <w:rPr>
                <w:rFonts w:hint="eastAsia" w:ascii="宋体" w:hAnsi="宋体" w:cs="宋体"/>
                <w:b/>
                <w:bCs/>
                <w:szCs w:val="21"/>
                <w:highlight w:val="none"/>
              </w:rPr>
              <w:t>分</w:t>
            </w:r>
          </w:p>
        </w:tc>
        <w:tc>
          <w:tcPr>
            <w:tcW w:w="2536" w:type="dxa"/>
            <w:tcBorders>
              <w:tl2br w:val="nil"/>
              <w:tr2bl w:val="nil"/>
            </w:tcBorders>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50</w:t>
            </w:r>
            <w:r>
              <w:rPr>
                <w:rFonts w:hint="eastAsia" w:ascii="宋体" w:hAnsi="宋体" w:cs="宋体"/>
                <w:b/>
                <w:bCs/>
                <w:szCs w:val="21"/>
                <w:highlight w:val="none"/>
              </w:rPr>
              <w:t>分</w:t>
            </w:r>
          </w:p>
        </w:tc>
      </w:tr>
    </w:tbl>
    <w:p>
      <w:pPr>
        <w:keepNext w:val="0"/>
        <w:keepLines w:val="0"/>
        <w:pageBreakBefore w:val="0"/>
        <w:widowControl/>
        <w:kinsoku/>
        <w:overflowPunct/>
        <w:topLinePunct w:val="0"/>
        <w:bidi w:val="0"/>
        <w:spacing w:line="440" w:lineRule="exact"/>
        <w:ind w:firstLine="422" w:firstLineChars="200"/>
        <w:jc w:val="left"/>
        <w:outlineLvl w:val="9"/>
        <w:rPr>
          <w:rFonts w:ascii="宋体" w:hAnsi="宋体" w:cs="宋体"/>
          <w:b/>
          <w:bCs/>
          <w:szCs w:val="21"/>
          <w:highlight w:val="none"/>
        </w:rPr>
      </w:pPr>
    </w:p>
    <w:p>
      <w:pPr>
        <w:keepNext w:val="0"/>
        <w:keepLines w:val="0"/>
        <w:pageBreakBefore w:val="0"/>
        <w:kinsoku/>
        <w:overflowPunct/>
        <w:topLinePunct w:val="0"/>
        <w:bidi w:val="0"/>
        <w:adjustRightInd w:val="0"/>
        <w:snapToGrid w:val="0"/>
        <w:spacing w:line="440" w:lineRule="exact"/>
        <w:ind w:firstLine="480" w:firstLineChars="200"/>
        <w:jc w:val="left"/>
        <w:outlineLvl w:val="9"/>
        <w:rPr>
          <w:rFonts w:ascii="宋体" w:hAnsi="宋体" w:cs="宋体"/>
          <w:sz w:val="24"/>
          <w:highlight w:val="none"/>
        </w:rPr>
      </w:pPr>
      <w:r>
        <w:rPr>
          <w:rFonts w:hint="eastAsia" w:ascii="宋体" w:hAnsi="宋体" w:cs="宋体"/>
          <w:sz w:val="24"/>
          <w:highlight w:val="none"/>
        </w:rPr>
        <w:t>五、综合评审方法</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（一）技术商务评分：由各个评委按照《技术商务评分表》项目独立进行评分，取平均分为该项最终得分。</w:t>
      </w:r>
    </w:p>
    <w:p>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cs="宋体"/>
          <w:sz w:val="24"/>
          <w:highlight w:val="none"/>
        </w:rPr>
        <w:t>（二）价格评分：对通过符合性审查的参评单位进行价格评分，将评</w:t>
      </w:r>
      <w:r>
        <w:rPr>
          <w:rFonts w:hint="eastAsia" w:ascii="宋体" w:hAnsi="宋体" w:cs="宋体"/>
          <w:sz w:val="24"/>
          <w:highlight w:val="none"/>
          <w:lang w:val="en-US" w:eastAsia="zh-CN"/>
        </w:rPr>
        <w:t>标</w:t>
      </w:r>
      <w:r>
        <w:rPr>
          <w:rFonts w:hint="eastAsia" w:ascii="宋体" w:hAnsi="宋体" w:cs="宋体"/>
          <w:sz w:val="24"/>
          <w:highlight w:val="none"/>
        </w:rPr>
        <w:t>委员会校核后的</w:t>
      </w:r>
      <w:r>
        <w:rPr>
          <w:rFonts w:hint="eastAsia" w:ascii="宋体" w:hAnsi="宋体" w:cs="宋体"/>
          <w:sz w:val="24"/>
          <w:highlight w:val="none"/>
          <w:lang w:val="en-US" w:eastAsia="zh-CN"/>
        </w:rPr>
        <w:t>供应商报价</w:t>
      </w:r>
      <w:r>
        <w:rPr>
          <w:rFonts w:hint="eastAsia" w:ascii="宋体" w:hAnsi="宋体" w:cs="宋体"/>
          <w:sz w:val="24"/>
          <w:highlight w:val="none"/>
        </w:rPr>
        <w:t>定义为评标价格。</w:t>
      </w:r>
      <w:r>
        <w:rPr>
          <w:rFonts w:hint="eastAsia" w:ascii="宋体" w:hAnsi="宋体" w:eastAsia="宋体" w:cs="宋体"/>
          <w:color w:val="auto"/>
          <w:sz w:val="24"/>
          <w:szCs w:val="24"/>
          <w:highlight w:val="none"/>
        </w:rPr>
        <w:t>以有效参评单位的评标价格最低者为评标标准值，得</w:t>
      </w:r>
      <w:r>
        <w:rPr>
          <w:rFonts w:hint="eastAsia" w:ascii="宋体" w:hAnsi="宋体" w:eastAsia="宋体" w:cs="宋体"/>
          <w:color w:val="auto"/>
          <w:sz w:val="24"/>
          <w:szCs w:val="24"/>
          <w:highlight w:val="none"/>
          <w:lang w:val="en-US" w:eastAsia="zh-CN"/>
        </w:rPr>
        <w:t xml:space="preserve">50分，每高于评标标准值的1%减5分，不足1%部分按1%计算。最低得0分。 </w:t>
      </w:r>
    </w:p>
    <w:p>
      <w:pPr>
        <w:keepNext w:val="0"/>
        <w:keepLines w:val="0"/>
        <w:pageBreakBefore w:val="0"/>
        <w:kinsoku/>
        <w:overflowPunct/>
        <w:topLinePunct w:val="0"/>
        <w:bidi w:val="0"/>
        <w:adjustRightInd w:val="0"/>
        <w:snapToGrid w:val="0"/>
        <w:spacing w:line="440" w:lineRule="exact"/>
        <w:ind w:firstLine="480" w:firstLineChars="200"/>
        <w:outlineLvl w:val="9"/>
        <w:rPr>
          <w:rFonts w:hint="eastAsia"/>
        </w:rPr>
      </w:pPr>
      <w:r>
        <w:rPr>
          <w:rFonts w:hint="eastAsia" w:ascii="宋体" w:hAnsi="宋体" w:cs="宋体"/>
          <w:sz w:val="24"/>
          <w:highlight w:val="none"/>
        </w:rPr>
        <w:t>（三）根据技术商务及价格的综合评分，计算各参评单位的总得分。按</w:t>
      </w:r>
      <w:r>
        <w:rPr>
          <w:rFonts w:hint="eastAsia" w:ascii="宋体" w:hAnsi="宋体" w:cs="宋体"/>
          <w:sz w:val="24"/>
          <w:highlight w:val="none"/>
          <w:lang w:val="en-US" w:eastAsia="zh-CN"/>
        </w:rPr>
        <w:t>总</w:t>
      </w:r>
      <w:r>
        <w:rPr>
          <w:rFonts w:hint="eastAsia" w:ascii="宋体" w:hAnsi="宋体" w:cs="宋体"/>
          <w:sz w:val="24"/>
          <w:highlight w:val="none"/>
        </w:rPr>
        <w:t>得分从高到低排名（得分相同时，报价低者优先）。</w:t>
      </w:r>
    </w:p>
    <w:p>
      <w:pPr>
        <w:pStyle w:val="15"/>
        <w:keepNext w:val="0"/>
        <w:keepLines w:val="0"/>
        <w:pageBreakBefore w:val="0"/>
        <w:widowControl/>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lang w:val="en-US" w:eastAsia="zh-CN"/>
        </w:rPr>
        <w:t>六、</w:t>
      </w:r>
      <w:r>
        <w:rPr>
          <w:rFonts w:hint="eastAsia" w:ascii="宋体" w:hAnsi="宋体" w:cs="宋体"/>
          <w:sz w:val="24"/>
          <w:highlight w:val="none"/>
        </w:rPr>
        <w:t>评审结果</w:t>
      </w:r>
    </w:p>
    <w:p>
      <w:pPr>
        <w:pStyle w:val="15"/>
        <w:keepNext w:val="0"/>
        <w:keepLines w:val="0"/>
        <w:pageBreakBefore w:val="0"/>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rPr>
        <w:t>根据综合评审</w:t>
      </w:r>
      <w:r>
        <w:rPr>
          <w:rFonts w:hint="eastAsia" w:ascii="宋体" w:hAnsi="宋体" w:cs="宋体"/>
          <w:sz w:val="24"/>
          <w:highlight w:val="none"/>
          <w:lang w:val="en-US" w:eastAsia="zh-CN"/>
        </w:rPr>
        <w:t>总</w:t>
      </w:r>
      <w:r>
        <w:rPr>
          <w:rFonts w:hint="eastAsia" w:ascii="宋体" w:hAnsi="宋体" w:cs="宋体"/>
          <w:sz w:val="24"/>
          <w:highlight w:val="none"/>
        </w:rPr>
        <w:t>得分最高的参评供应商为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《评选结果通知书》，并</w:t>
      </w:r>
      <w:r>
        <w:rPr>
          <w:rFonts w:hint="eastAsia" w:ascii="宋体" w:hAnsi="宋体" w:cs="宋体"/>
          <w:sz w:val="24"/>
          <w:highlight w:val="none"/>
        </w:rPr>
        <w:t>确认意向。如第一中选候选人因故不能履约的，采购人可以确定第二中选候选人为中选供应商，以此类推。</w:t>
      </w:r>
    </w:p>
    <w:p/>
    <w:p>
      <w:pPr>
        <w:keepNext w:val="0"/>
        <w:keepLines w:val="0"/>
        <w:pageBreakBefore w:val="0"/>
        <w:kinsoku/>
        <w:overflowPunct/>
        <w:topLinePunct w:val="0"/>
        <w:bidi w:val="0"/>
        <w:spacing w:line="440" w:lineRule="exact"/>
        <w:ind w:firstLine="0" w:firstLineChars="0"/>
        <w:outlineLvl w:val="9"/>
        <w:rPr>
          <w:highlight w:val="none"/>
        </w:rPr>
      </w:pPr>
      <w:r>
        <w:rPr>
          <w:rFonts w:hint="eastAsia" w:ascii="宋体" w:hAnsi="宋体" w:cs="宋体"/>
          <w:sz w:val="24"/>
          <w:highlight w:val="none"/>
        </w:rPr>
        <w:t>七、资格评审表</w:t>
      </w:r>
    </w:p>
    <w:p>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资格评审表</w:t>
      </w:r>
    </w:p>
    <w:p>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p>
    <w:tbl>
      <w:tblPr>
        <w:tblStyle w:val="16"/>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序号</w:t>
            </w:r>
          </w:p>
        </w:tc>
        <w:tc>
          <w:tcPr>
            <w:tcW w:w="575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评审内容</w:t>
            </w:r>
          </w:p>
        </w:tc>
        <w:tc>
          <w:tcPr>
            <w:tcW w:w="102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4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2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2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具有独立承担民事责任能力的在中华人民共和国境内</w:t>
            </w:r>
            <w:r>
              <w:rPr>
                <w:rFonts w:hint="eastAsia"/>
                <w:highlight w:val="none"/>
                <w:lang w:val="en-US" w:eastAsia="zh-CN"/>
              </w:rPr>
              <w:t>合法</w:t>
            </w:r>
            <w:r>
              <w:rPr>
                <w:rFonts w:hint="eastAsia"/>
                <w:highlight w:val="none"/>
              </w:rPr>
              <w:t>注册的企业法人或其</w:t>
            </w:r>
            <w:r>
              <w:rPr>
                <w:rFonts w:hint="eastAsia"/>
                <w:highlight w:val="none"/>
                <w:lang w:val="en-US" w:eastAsia="zh-CN"/>
              </w:rPr>
              <w:t>分支机构</w:t>
            </w:r>
            <w:r>
              <w:rPr>
                <w:rFonts w:hint="eastAsia"/>
                <w:highlight w:val="none"/>
              </w:rPr>
              <w:t>，提供营业执照。</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供应商承诺不得以任何方式转包或分包本项目。</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参评供应商满足本项目的主要需求，填写《需求响应表》并全部完全响应，无负偏离。</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4</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报价为唯一固定价且未超过报价限价。</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5</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非联合体潜在供应商参评报价。</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6</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符合采购文件要求的其他条件（如盖章签署</w:t>
            </w:r>
            <w:r>
              <w:rPr>
                <w:rFonts w:hint="eastAsia"/>
                <w:highlight w:val="none"/>
                <w:lang w:val="en-US" w:eastAsia="zh-CN"/>
              </w:rPr>
              <w:t>要求</w:t>
            </w:r>
            <w:r>
              <w:rPr>
                <w:rFonts w:hint="eastAsia"/>
                <w:highlight w:val="none"/>
              </w:rPr>
              <w:t>等）。</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pPr>
              <w:keepNext w:val="0"/>
              <w:keepLines w:val="0"/>
              <w:pageBreakBefore w:val="0"/>
              <w:kinsoku/>
              <w:overflowPunct/>
              <w:topLinePunct w:val="0"/>
              <w:bidi w:val="0"/>
              <w:spacing w:line="440" w:lineRule="exact"/>
              <w:jc w:val="center"/>
              <w:outlineLvl w:val="9"/>
              <w:rPr>
                <w:highlight w:val="none"/>
              </w:rPr>
            </w:pPr>
            <w:r>
              <w:rPr>
                <w:rFonts w:hint="eastAsia" w:ascii="宋体" w:hAnsi="宋体" w:cs="宋体"/>
                <w:sz w:val="24"/>
                <w:highlight w:val="none"/>
              </w:rPr>
              <w:t>评审结论</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不通过原因</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备注：</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1．评标委员会对参评供应商是否满足要求逐条标注评审意见，符合的打“〇”，不符合的打“×”；</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2．全部打“〇”的，评审结论栏填写“通过”；出现一项“×”，评审结论填写“不通过”，对评审结论为“不通过”的要说明原因。</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3．评审结论为“通过”的，方可参与下一阶段的评审。</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bCs/>
          <w:sz w:val="24"/>
          <w:highlight w:val="none"/>
        </w:rPr>
        <w:t xml:space="preserve">全体成员签名：                                      </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评审日期：</w:t>
      </w:r>
    </w:p>
    <w:p>
      <w:pPr>
        <w:pStyle w:val="15"/>
        <w:rPr>
          <w:rFonts w:hint="eastAsia" w:ascii="宋体" w:hAnsi="宋体" w:eastAsia="宋体" w:cs="宋体"/>
          <w:b/>
          <w:sz w:val="28"/>
          <w:szCs w:val="28"/>
          <w:highlight w:val="none"/>
          <w:lang w:val="en-US" w:eastAsia="zh-CN"/>
        </w:rPr>
      </w:pPr>
    </w:p>
    <w:p>
      <w:pPr>
        <w:keepNext w:val="0"/>
        <w:keepLines w:val="0"/>
        <w:pageBreakBefore w:val="0"/>
        <w:kinsoku/>
        <w:overflowPunct/>
        <w:topLinePunct w:val="0"/>
        <w:bidi w:val="0"/>
        <w:spacing w:line="440" w:lineRule="exact"/>
        <w:ind w:firstLine="0" w:firstLineChars="0"/>
        <w:outlineLvl w:val="9"/>
        <w:rPr>
          <w:rFonts w:hint="eastAsia" w:ascii="宋体" w:hAnsi="宋体" w:cs="宋体"/>
          <w:sz w:val="24"/>
          <w:highlight w:val="none"/>
        </w:rPr>
      </w:pPr>
    </w:p>
    <w:p>
      <w:pPr>
        <w:keepNext w:val="0"/>
        <w:keepLines w:val="0"/>
        <w:pageBreakBefore w:val="0"/>
        <w:kinsoku/>
        <w:overflowPunct/>
        <w:topLinePunct w:val="0"/>
        <w:bidi w:val="0"/>
        <w:spacing w:line="440" w:lineRule="exact"/>
        <w:ind w:firstLine="0" w:firstLineChars="0"/>
        <w:outlineLvl w:val="9"/>
        <w:rPr>
          <w:rFonts w:hint="eastAsia" w:ascii="宋体" w:hAnsi="宋体" w:cs="宋体"/>
          <w:sz w:val="24"/>
          <w:highlight w:val="none"/>
        </w:rPr>
      </w:pPr>
    </w:p>
    <w:p>
      <w:pPr>
        <w:keepNext w:val="0"/>
        <w:keepLines w:val="0"/>
        <w:pageBreakBefore w:val="0"/>
        <w:kinsoku/>
        <w:overflowPunct/>
        <w:topLinePunct w:val="0"/>
        <w:bidi w:val="0"/>
        <w:spacing w:line="440" w:lineRule="exact"/>
        <w:ind w:firstLine="0" w:firstLineChars="0"/>
        <w:outlineLvl w:val="9"/>
        <w:rPr>
          <w:rFonts w:ascii="宋体" w:hAnsi="宋体" w:cs="宋体"/>
          <w:sz w:val="24"/>
          <w:highlight w:val="none"/>
        </w:rPr>
      </w:pPr>
      <w:r>
        <w:rPr>
          <w:rFonts w:hint="eastAsia" w:ascii="宋体" w:hAnsi="宋体" w:cs="宋体"/>
          <w:sz w:val="24"/>
          <w:highlight w:val="none"/>
        </w:rPr>
        <w:t>八、技术商务评分表</w:t>
      </w:r>
    </w:p>
    <w:p>
      <w:pPr>
        <w:keepNext w:val="0"/>
        <w:keepLines w:val="0"/>
        <w:pageBreakBefore w:val="0"/>
        <w:kinsoku/>
        <w:overflowPunct/>
        <w:topLinePunct w:val="0"/>
        <w:bidi w:val="0"/>
        <w:spacing w:line="440" w:lineRule="exact"/>
        <w:jc w:val="center"/>
        <w:outlineLvl w:val="9"/>
        <w:rPr>
          <w:rFonts w:ascii="宋体" w:hAnsi="宋体" w:cs="宋体"/>
          <w:b/>
          <w:bCs/>
          <w:sz w:val="44"/>
          <w:szCs w:val="44"/>
          <w:highlight w:val="none"/>
        </w:rPr>
      </w:pPr>
    </w:p>
    <w:p>
      <w:pPr>
        <w:keepNext w:val="0"/>
        <w:keepLines w:val="0"/>
        <w:pageBreakBefore w:val="0"/>
        <w:kinsoku/>
        <w:overflowPunct/>
        <w:topLinePunct w:val="0"/>
        <w:bidi w:val="0"/>
        <w:spacing w:line="440" w:lineRule="exact"/>
        <w:jc w:val="center"/>
        <w:outlineLvl w:val="9"/>
        <w:rPr>
          <w:rFonts w:ascii="宋体" w:hAnsi="宋体"/>
          <w:b/>
          <w:sz w:val="32"/>
          <w:szCs w:val="32"/>
          <w:highlight w:val="none"/>
        </w:rPr>
      </w:pPr>
      <w:r>
        <w:rPr>
          <w:rFonts w:hint="eastAsia" w:ascii="宋体" w:hAnsi="宋体" w:cs="宋体"/>
          <w:b/>
          <w:bCs/>
          <w:sz w:val="44"/>
          <w:szCs w:val="44"/>
          <w:highlight w:val="none"/>
        </w:rPr>
        <w:t>技术商务评分表</w:t>
      </w:r>
    </w:p>
    <w:p>
      <w:pPr>
        <w:keepNext w:val="0"/>
        <w:keepLines w:val="0"/>
        <w:pageBreakBefore w:val="0"/>
        <w:kinsoku/>
        <w:overflowPunct/>
        <w:topLinePunct w:val="0"/>
        <w:bidi w:val="0"/>
        <w:spacing w:line="440" w:lineRule="exact"/>
        <w:jc w:val="center"/>
        <w:outlineLvl w:val="9"/>
        <w:rPr>
          <w:rFonts w:ascii="宋体" w:hAnsi="宋体"/>
          <w:b/>
          <w:sz w:val="32"/>
          <w:szCs w:val="32"/>
          <w:highlight w:val="none"/>
        </w:rPr>
      </w:pPr>
    </w:p>
    <w:p>
      <w:pPr>
        <w:keepNext w:val="0"/>
        <w:keepLines w:val="0"/>
        <w:pageBreakBefore w:val="0"/>
        <w:numPr>
          <w:ilvl w:val="255"/>
          <w:numId w:val="0"/>
        </w:numPr>
        <w:kinsoku/>
        <w:overflowPunct/>
        <w:topLinePunct w:val="0"/>
        <w:bidi w:val="0"/>
        <w:spacing w:line="440" w:lineRule="exact"/>
        <w:ind w:firstLine="0" w:firstLineChars="0"/>
        <w:outlineLvl w:val="9"/>
        <w:rPr>
          <w:rFonts w:hint="eastAsia" w:ascii="宋体" w:hAnsi="宋体" w:eastAsia="宋体" w:cs="宋体"/>
          <w:spacing w:val="20"/>
          <w:sz w:val="24"/>
          <w:szCs w:val="21"/>
          <w:highlight w:val="none"/>
          <w:lang w:val="en-US" w:eastAsia="zh-CN"/>
        </w:rPr>
      </w:pPr>
      <w:r>
        <w:rPr>
          <w:rFonts w:hint="eastAsia" w:ascii="宋体" w:hAnsi="宋体" w:cs="宋体"/>
          <w:szCs w:val="21"/>
          <w:highlight w:val="none"/>
        </w:rPr>
        <w:t>项目名称：</w:t>
      </w:r>
      <w:r>
        <w:rPr>
          <w:rFonts w:hint="eastAsia" w:ascii="宋体" w:hAnsi="宋体" w:cs="宋体"/>
          <w:sz w:val="24"/>
          <w:highlight w:val="none"/>
        </w:rPr>
        <w:t>中山市公共交通运输集团有限公司</w:t>
      </w:r>
      <w:r>
        <w:rPr>
          <w:rFonts w:hint="eastAsia" w:ascii="宋体" w:hAnsi="宋体" w:cs="宋体"/>
          <w:spacing w:val="20"/>
          <w:sz w:val="24"/>
          <w:highlight w:val="none"/>
          <w:lang w:val="en-US" w:eastAsia="zh-CN"/>
        </w:rPr>
        <w:t>网络舆情监测系统采购项目</w:t>
      </w:r>
    </w:p>
    <w:tbl>
      <w:tblPr>
        <w:tblStyle w:val="16"/>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8"/>
        <w:gridCol w:w="722"/>
        <w:gridCol w:w="3948"/>
        <w:gridCol w:w="983"/>
        <w:gridCol w:w="987"/>
        <w:gridCol w:w="1075"/>
        <w:gridCol w:w="963"/>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851" w:type="dxa"/>
            <w:vMerge w:val="restart"/>
            <w:tcBorders>
              <w:top w:val="double" w:color="auto" w:sz="2" w:space="0"/>
              <w:left w:val="double" w:color="auto" w:sz="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序号</w:t>
            </w:r>
          </w:p>
        </w:tc>
        <w:tc>
          <w:tcPr>
            <w:tcW w:w="1418" w:type="dxa"/>
            <w:vMerge w:val="restart"/>
            <w:tcBorders>
              <w:top w:val="double" w:color="auto" w:sz="2"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评审项目</w:t>
            </w:r>
          </w:p>
        </w:tc>
        <w:tc>
          <w:tcPr>
            <w:tcW w:w="722" w:type="dxa"/>
            <w:vMerge w:val="restart"/>
            <w:tcBorders>
              <w:top w:val="double" w:color="auto" w:sz="2"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分配分数</w:t>
            </w:r>
          </w:p>
        </w:tc>
        <w:tc>
          <w:tcPr>
            <w:tcW w:w="3948" w:type="dxa"/>
            <w:vMerge w:val="restart"/>
            <w:tcBorders>
              <w:top w:val="double" w:color="auto" w:sz="2"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851" w:type="dxa"/>
            <w:vMerge w:val="continue"/>
            <w:tcBorders>
              <w:left w:val="double" w:color="auto" w:sz="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1418" w:type="dxa"/>
            <w:vMerge w:val="continue"/>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722" w:type="dxa"/>
            <w:vMerge w:val="continue"/>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3948" w:type="dxa"/>
            <w:vMerge w:val="continue"/>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供应商A</w:t>
            </w:r>
          </w:p>
        </w:tc>
        <w:tc>
          <w:tcPr>
            <w:tcW w:w="9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供应商B</w:t>
            </w:r>
          </w:p>
        </w:tc>
        <w:tc>
          <w:tcPr>
            <w:tcW w:w="1075"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供应商C</w:t>
            </w:r>
          </w:p>
        </w:tc>
        <w:tc>
          <w:tcPr>
            <w:tcW w:w="963" w:type="dxa"/>
            <w:tcBorders>
              <w:top w:val="single" w:color="auto" w:sz="6"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default" w:ascii="宋体" w:hAnsi="宋体" w:eastAsia="宋体" w:cs="宋体"/>
                <w:color w:val="000000"/>
                <w:kern w:val="0"/>
                <w:sz w:val="21"/>
                <w:szCs w:val="21"/>
                <w:highlight w:val="none"/>
                <w:lang w:val="en-US" w:eastAsia="zh-CN"/>
              </w:rPr>
            </w:pPr>
            <w:r>
              <w:rPr>
                <w:rFonts w:hint="eastAsia" w:hAnsi="宋体" w:eastAsia="宋体" w:cs="宋体"/>
                <w:sz w:val="24"/>
                <w:szCs w:val="24"/>
                <w:highlight w:val="none"/>
                <w:lang w:val="en-US" w:eastAsia="zh-CN"/>
              </w:rPr>
              <w:t>人员资质</w:t>
            </w:r>
          </w:p>
        </w:tc>
        <w:tc>
          <w:tcPr>
            <w:tcW w:w="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10</w:t>
            </w:r>
          </w:p>
        </w:tc>
        <w:tc>
          <w:tcPr>
            <w:tcW w:w="3948" w:type="dxa"/>
            <w:tcBorders>
              <w:top w:val="single" w:color="auto" w:sz="6" w:space="0"/>
              <w:left w:val="single" w:color="auto" w:sz="6" w:space="0"/>
              <w:bottom w:val="single" w:color="auto" w:sz="6" w:space="0"/>
              <w:right w:val="single" w:color="auto" w:sz="6" w:space="0"/>
            </w:tcBorders>
            <w:vAlign w:val="center"/>
          </w:tcPr>
          <w:p>
            <w:pPr>
              <w:bidi w:val="0"/>
              <w:ind w:firstLine="420" w:firstLineChars="200"/>
              <w:rPr>
                <w:rFonts w:hint="eastAsia" w:ascii="宋体" w:hAnsi="宋体" w:eastAsia="宋体" w:cs="宋体"/>
                <w:sz w:val="21"/>
                <w:szCs w:val="21"/>
                <w:highlight w:val="none"/>
                <w:lang w:val="en-US" w:eastAsia="zh-CN"/>
              </w:rPr>
            </w:pPr>
            <w:r>
              <w:rPr>
                <w:rFonts w:hint="eastAsia"/>
                <w:sz w:val="21"/>
                <w:szCs w:val="21"/>
                <w:highlight w:val="none"/>
                <w:lang w:val="en-US" w:eastAsia="zh-CN"/>
              </w:rPr>
              <w:t>人员具有有效的CISP证书得2分；网络规划设计师（高级）证书得2分；信息系统项目管理师（高级）证书得2分。</w:t>
            </w:r>
            <w:r>
              <w:rPr>
                <w:rFonts w:hint="eastAsia"/>
                <w:b w:val="0"/>
                <w:bCs w:val="0"/>
                <w:sz w:val="21"/>
                <w:szCs w:val="21"/>
                <w:highlight w:val="none"/>
                <w:lang w:val="en-US" w:eastAsia="zh-CN"/>
              </w:rPr>
              <w:t>（需提供相关人员相关资质证书复印件加盖参评人公章和参评人为其缴纳的近3个月社保记录。）</w:t>
            </w: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服务方案</w:t>
            </w:r>
          </w:p>
        </w:tc>
        <w:tc>
          <w:tcPr>
            <w:tcW w:w="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15</w:t>
            </w:r>
          </w:p>
        </w:tc>
        <w:tc>
          <w:tcPr>
            <w:tcW w:w="3948" w:type="dxa"/>
            <w:tcBorders>
              <w:top w:val="single" w:color="auto" w:sz="6" w:space="0"/>
              <w:left w:val="single" w:color="auto" w:sz="6" w:space="0"/>
              <w:bottom w:val="single" w:color="auto" w:sz="6" w:space="0"/>
              <w:right w:val="single" w:color="auto" w:sz="6" w:space="0"/>
            </w:tcBorders>
            <w:vAlign w:val="center"/>
          </w:tcPr>
          <w:p>
            <w:pPr>
              <w:jc w:val="left"/>
              <w:rPr>
                <w:rFonts w:hint="eastAsia" w:ascii="宋体" w:hAnsi="宋体" w:eastAsia="宋体" w:cs="宋体"/>
                <w:sz w:val="21"/>
                <w:szCs w:val="21"/>
                <w:highlight w:val="none"/>
                <w:lang w:val="en-US" w:eastAsia="zh-CN"/>
              </w:rPr>
            </w:pPr>
            <w:r>
              <w:rPr>
                <w:rFonts w:hint="eastAsia" w:ascii="宋体" w:hAnsi="宋体" w:eastAsia="宋体" w:cs="宋体"/>
                <w:spacing w:val="8"/>
                <w:kern w:val="0"/>
                <w:szCs w:val="21"/>
                <w:highlight w:val="none"/>
              </w:rPr>
              <w:t>根据供应商提供的项目服务方案进行评审，从服务工作方式方法、舆情情形分析、具体处置措施等综合评比，</w:t>
            </w:r>
            <w:r>
              <w:rPr>
                <w:rFonts w:hint="eastAsia" w:ascii="宋体" w:hAnsi="宋体" w:eastAsia="宋体" w:cs="宋体"/>
                <w:spacing w:val="8"/>
                <w:kern w:val="0"/>
                <w:szCs w:val="21"/>
                <w:highlight w:val="none"/>
                <w:lang w:val="en-US" w:eastAsia="zh-CN"/>
              </w:rPr>
              <w:t>本项最高分得</w:t>
            </w:r>
            <w:r>
              <w:rPr>
                <w:rFonts w:hint="eastAsia" w:ascii="宋体" w:hAnsi="宋体" w:cs="宋体"/>
                <w:spacing w:val="8"/>
                <w:kern w:val="0"/>
                <w:szCs w:val="21"/>
                <w:highlight w:val="none"/>
                <w:lang w:val="en-US" w:eastAsia="zh-CN"/>
              </w:rPr>
              <w:t>15</w:t>
            </w:r>
            <w:r>
              <w:rPr>
                <w:rFonts w:hint="eastAsia" w:ascii="宋体" w:hAnsi="宋体" w:eastAsia="宋体" w:cs="宋体"/>
                <w:spacing w:val="8"/>
                <w:kern w:val="0"/>
                <w:szCs w:val="21"/>
                <w:highlight w:val="none"/>
              </w:rPr>
              <w:t>分，</w:t>
            </w:r>
            <w:r>
              <w:rPr>
                <w:rFonts w:hint="eastAsia" w:ascii="宋体" w:hAnsi="宋体" w:eastAsia="宋体" w:cs="宋体"/>
                <w:spacing w:val="8"/>
                <w:kern w:val="0"/>
                <w:szCs w:val="21"/>
                <w:highlight w:val="none"/>
                <w:lang w:val="en-US" w:eastAsia="zh-CN"/>
              </w:rPr>
              <w:t>一般</w:t>
            </w:r>
            <w:r>
              <w:rPr>
                <w:rFonts w:hint="eastAsia" w:ascii="宋体" w:hAnsi="宋体" w:cs="宋体"/>
                <w:spacing w:val="8"/>
                <w:kern w:val="0"/>
                <w:szCs w:val="21"/>
                <w:highlight w:val="none"/>
                <w:lang w:val="en-US" w:eastAsia="zh-CN"/>
              </w:rPr>
              <w:t>8</w:t>
            </w:r>
            <w:r>
              <w:rPr>
                <w:rFonts w:hint="eastAsia" w:ascii="宋体" w:hAnsi="宋体" w:eastAsia="宋体" w:cs="宋体"/>
                <w:spacing w:val="8"/>
                <w:kern w:val="0"/>
                <w:szCs w:val="21"/>
                <w:highlight w:val="none"/>
              </w:rPr>
              <w:t>分，</w:t>
            </w:r>
            <w:r>
              <w:rPr>
                <w:rFonts w:hint="eastAsia" w:ascii="宋体" w:hAnsi="宋体" w:cs="宋体"/>
                <w:spacing w:val="8"/>
                <w:kern w:val="0"/>
                <w:szCs w:val="21"/>
                <w:highlight w:val="none"/>
                <w:lang w:val="en-US" w:eastAsia="zh-CN"/>
              </w:rPr>
              <w:t>最低</w:t>
            </w:r>
            <w:r>
              <w:rPr>
                <w:rFonts w:hint="eastAsia" w:ascii="宋体" w:hAnsi="宋体" w:eastAsia="宋体" w:cs="宋体"/>
                <w:spacing w:val="8"/>
                <w:kern w:val="0"/>
                <w:szCs w:val="21"/>
                <w:highlight w:val="none"/>
              </w:rPr>
              <w:t>得</w:t>
            </w:r>
            <w:r>
              <w:rPr>
                <w:rFonts w:hint="eastAsia" w:ascii="宋体" w:hAnsi="宋体" w:cs="宋体"/>
                <w:spacing w:val="8"/>
                <w:kern w:val="0"/>
                <w:szCs w:val="21"/>
                <w:highlight w:val="none"/>
                <w:lang w:val="en-US" w:eastAsia="zh-CN"/>
              </w:rPr>
              <w:t>3</w:t>
            </w:r>
            <w:r>
              <w:rPr>
                <w:rFonts w:hint="eastAsia" w:ascii="宋体" w:hAnsi="宋体" w:eastAsia="宋体" w:cs="宋体"/>
                <w:spacing w:val="8"/>
                <w:kern w:val="0"/>
                <w:szCs w:val="21"/>
                <w:highlight w:val="none"/>
              </w:rPr>
              <w:t>分。</w:t>
            </w: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both"/>
              <w:textAlignment w:val="auto"/>
              <w:outlineLvl w:val="9"/>
              <w:rPr>
                <w:rFonts w:ascii="宋体" w:hAnsi="宋体" w:eastAsia="宋体" w:cs="宋体"/>
                <w:color w:val="000000"/>
                <w:kern w:val="0"/>
                <w:sz w:val="21"/>
                <w:szCs w:val="21"/>
                <w:highlight w:val="none"/>
              </w:rPr>
            </w:pPr>
            <w:r>
              <w:rPr>
                <w:rFonts w:hint="eastAsia" w:ascii="宋体" w:hAnsi="宋体" w:cs="宋体"/>
                <w:sz w:val="21"/>
                <w:szCs w:val="21"/>
                <w:highlight w:val="none"/>
              </w:rPr>
              <w:t>服务质量保障措施</w:t>
            </w:r>
          </w:p>
        </w:tc>
        <w:tc>
          <w:tcPr>
            <w:tcW w:w="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eastAsia="zh-CN"/>
              </w:rPr>
            </w:pPr>
            <w:r>
              <w:rPr>
                <w:rFonts w:hint="eastAsia" w:ascii="宋体" w:hAnsi="宋体" w:cs="宋体"/>
                <w:kern w:val="2"/>
                <w:sz w:val="21"/>
                <w:szCs w:val="21"/>
                <w:highlight w:val="none"/>
                <w:lang w:val="en-US" w:eastAsia="zh-CN" w:bidi="ar-SA"/>
              </w:rPr>
              <w:t>10</w:t>
            </w:r>
          </w:p>
        </w:tc>
        <w:tc>
          <w:tcPr>
            <w:tcW w:w="3948" w:type="dxa"/>
            <w:tcBorders>
              <w:top w:val="single" w:color="auto" w:sz="6" w:space="0"/>
              <w:left w:val="single" w:color="auto" w:sz="6" w:space="0"/>
              <w:bottom w:val="single" w:color="auto" w:sz="6" w:space="0"/>
              <w:right w:val="single" w:color="auto" w:sz="6" w:space="0"/>
            </w:tcBorders>
            <w:vAlign w:val="center"/>
          </w:tcPr>
          <w:p>
            <w:pPr>
              <w:jc w:val="left"/>
              <w:rPr>
                <w:rFonts w:hint="eastAsia" w:ascii="宋体" w:hAnsi="宋体" w:cs="宋体"/>
                <w:sz w:val="21"/>
                <w:szCs w:val="21"/>
                <w:highlight w:val="none"/>
              </w:rPr>
            </w:pPr>
            <w:r>
              <w:rPr>
                <w:rFonts w:hint="eastAsia" w:ascii="宋体" w:hAnsi="宋体" w:cs="宋体"/>
                <w:sz w:val="21"/>
                <w:szCs w:val="21"/>
                <w:highlight w:val="none"/>
              </w:rPr>
              <w:t>根据</w:t>
            </w:r>
            <w:r>
              <w:rPr>
                <w:rFonts w:hint="eastAsia" w:ascii="宋体" w:hAnsi="宋体" w:cs="宋体"/>
                <w:sz w:val="21"/>
                <w:szCs w:val="21"/>
                <w:highlight w:val="none"/>
                <w:lang w:val="en-US" w:eastAsia="zh-CN"/>
              </w:rPr>
              <w:t>供应商服务质量保障措施</w:t>
            </w:r>
            <w:r>
              <w:rPr>
                <w:rFonts w:hint="eastAsia" w:ascii="宋体" w:hAnsi="宋体" w:cs="宋体"/>
                <w:sz w:val="21"/>
                <w:szCs w:val="21"/>
                <w:highlight w:val="none"/>
              </w:rPr>
              <w:t>进行评审：</w:t>
            </w:r>
          </w:p>
          <w:p>
            <w:pPr>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服务质量保障措施全面、详细，可行性高，操作性强，得</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p>
            <w:pPr>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服务质量保障措施较为全面、详细，可行性较高，操作性较强，得</w:t>
            </w:r>
            <w:r>
              <w:rPr>
                <w:rFonts w:hint="eastAsia" w:ascii="宋体" w:hAnsi="宋体" w:cs="宋体"/>
                <w:sz w:val="21"/>
                <w:szCs w:val="21"/>
                <w:highlight w:val="none"/>
                <w:lang w:val="en-US" w:eastAsia="zh-CN"/>
              </w:rPr>
              <w:t>7</w:t>
            </w:r>
            <w:r>
              <w:rPr>
                <w:rFonts w:hint="eastAsia" w:ascii="宋体" w:hAnsi="宋体" w:cs="宋体"/>
                <w:sz w:val="21"/>
                <w:szCs w:val="21"/>
                <w:highlight w:val="none"/>
              </w:rPr>
              <w:t>分；</w:t>
            </w:r>
          </w:p>
          <w:p>
            <w:pPr>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服务质量保障措施比较简单，基本可行</w:t>
            </w:r>
            <w:r>
              <w:rPr>
                <w:rFonts w:hint="eastAsia" w:ascii="宋体" w:hAnsi="宋体" w:cs="宋体"/>
                <w:sz w:val="21"/>
                <w:szCs w:val="21"/>
                <w:highlight w:val="none"/>
                <w:lang w:eastAsia="zh-CN"/>
              </w:rPr>
              <w:t>，</w:t>
            </w:r>
            <w:r>
              <w:rPr>
                <w:rFonts w:hint="eastAsia" w:ascii="宋体" w:hAnsi="宋体" w:cs="宋体"/>
                <w:sz w:val="21"/>
                <w:szCs w:val="21"/>
                <w:highlight w:val="none"/>
              </w:rPr>
              <w:t>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w:t>
            </w:r>
          </w:p>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服务质量保障措施差，不可行或完全没有相关内容的不得分。</w:t>
            </w: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cs="宋体"/>
                <w:sz w:val="21"/>
                <w:szCs w:val="21"/>
                <w:highlight w:val="none"/>
              </w:rPr>
            </w:pPr>
            <w:r>
              <w:rPr>
                <w:rFonts w:ascii="宋体" w:hAnsi="宋体" w:eastAsia="宋体" w:cs="宋体"/>
                <w:color w:val="000000"/>
                <w:kern w:val="0"/>
                <w:sz w:val="21"/>
                <w:szCs w:val="21"/>
                <w:highlight w:val="none"/>
              </w:rPr>
              <w:t>供应商</w:t>
            </w:r>
            <w:r>
              <w:rPr>
                <w:rFonts w:hint="eastAsia" w:ascii="宋体" w:hAnsi="宋体" w:cs="宋体"/>
                <w:sz w:val="21"/>
                <w:szCs w:val="21"/>
                <w:highlight w:val="none"/>
              </w:rPr>
              <w:t>同类项目业绩</w:t>
            </w:r>
          </w:p>
        </w:tc>
        <w:tc>
          <w:tcPr>
            <w:tcW w:w="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15</w:t>
            </w:r>
          </w:p>
        </w:tc>
        <w:tc>
          <w:tcPr>
            <w:tcW w:w="3948" w:type="dxa"/>
            <w:tcBorders>
              <w:top w:val="single" w:color="auto" w:sz="6" w:space="0"/>
              <w:left w:val="single" w:color="auto" w:sz="6" w:space="0"/>
              <w:bottom w:val="single" w:color="auto" w:sz="6" w:space="0"/>
              <w:right w:val="single" w:color="auto" w:sz="6" w:space="0"/>
            </w:tcBorders>
            <w:vAlign w:val="center"/>
          </w:tcPr>
          <w:p>
            <w:pPr>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供应商</w:t>
            </w:r>
            <w:r>
              <w:rPr>
                <w:rFonts w:hint="eastAsia" w:ascii="宋体" w:hAnsi="宋体" w:cs="宋体"/>
                <w:sz w:val="21"/>
                <w:szCs w:val="21"/>
                <w:highlight w:val="none"/>
              </w:rPr>
              <w:t>自</w:t>
            </w:r>
            <w:r>
              <w:rPr>
                <w:rFonts w:hint="eastAsia" w:ascii="宋体" w:hAnsi="宋体" w:cs="宋体"/>
                <w:sz w:val="21"/>
                <w:szCs w:val="21"/>
                <w:highlight w:val="none"/>
                <w:lang w:val="en-US" w:eastAsia="zh-CN"/>
              </w:rPr>
              <w:t>2020</w:t>
            </w:r>
            <w:r>
              <w:rPr>
                <w:rFonts w:hint="eastAsia" w:ascii="宋体" w:hAnsi="宋体" w:cs="宋体"/>
                <w:sz w:val="21"/>
                <w:szCs w:val="21"/>
                <w:highlight w:val="none"/>
              </w:rPr>
              <w:t>年以来（以合同签订时间为准）承接或完成的同类项目业绩，</w:t>
            </w:r>
            <w:r>
              <w:rPr>
                <w:rFonts w:hint="eastAsia" w:ascii="宋体" w:hAnsi="宋体" w:cs="宋体"/>
                <w:sz w:val="21"/>
                <w:szCs w:val="21"/>
                <w:highlight w:val="none"/>
                <w:lang w:val="en-US" w:eastAsia="zh-CN"/>
              </w:rPr>
              <w:t>每提供一份合同得3分，不提供的不得分</w:t>
            </w:r>
            <w:r>
              <w:rPr>
                <w:rFonts w:hint="eastAsia" w:ascii="宋体" w:hAnsi="宋体" w:cs="宋体"/>
                <w:sz w:val="21"/>
                <w:szCs w:val="21"/>
                <w:highlight w:val="none"/>
              </w:rPr>
              <w:t>。</w:t>
            </w:r>
          </w:p>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注：需提供盖公章的合同复印件。</w:t>
            </w: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2269" w:type="dxa"/>
            <w:gridSpan w:val="2"/>
            <w:tcBorders>
              <w:top w:val="single" w:color="auto" w:sz="6" w:space="0"/>
              <w:left w:val="double" w:color="auto" w:sz="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r>
              <w:rPr>
                <w:rFonts w:hint="eastAsia" w:ascii="宋体" w:hAnsi="宋体" w:cs="宋体"/>
                <w:sz w:val="21"/>
                <w:szCs w:val="21"/>
                <w:highlight w:val="none"/>
              </w:rPr>
              <w:t>合计</w:t>
            </w:r>
          </w:p>
        </w:tc>
        <w:tc>
          <w:tcPr>
            <w:tcW w:w="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rPr>
            </w:pPr>
            <w:r>
              <w:rPr>
                <w:rFonts w:hint="eastAsia" w:ascii="宋体" w:hAnsi="宋体" w:cs="宋体"/>
                <w:sz w:val="21"/>
                <w:szCs w:val="21"/>
                <w:highlight w:val="none"/>
                <w:lang w:val="en-US" w:eastAsia="zh-CN"/>
              </w:rPr>
              <w:t>50</w:t>
            </w:r>
          </w:p>
        </w:tc>
        <w:tc>
          <w:tcPr>
            <w:tcW w:w="3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r>
              <w:rPr>
                <w:rFonts w:hint="eastAsia" w:ascii="宋体" w:hAnsi="宋体" w:cs="宋体"/>
                <w:sz w:val="21"/>
                <w:szCs w:val="21"/>
                <w:highlight w:val="none"/>
              </w:rPr>
              <w:t>总计得分</w:t>
            </w: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评委签名：                   评审日期：</w:t>
      </w:r>
    </w:p>
    <w:p>
      <w:pPr>
        <w:rPr>
          <w:rFonts w:hint="eastAsia" w:ascii="宋体" w:hAnsi="宋体" w:eastAsia="宋体" w:cs="宋体"/>
          <w:b/>
          <w:sz w:val="28"/>
          <w:szCs w:val="28"/>
          <w:highlight w:val="none"/>
          <w:lang w:val="en-US" w:eastAsia="zh-CN"/>
        </w:rPr>
      </w:pPr>
    </w:p>
    <w:p>
      <w:pPr>
        <w:pStyle w:val="15"/>
        <w:rPr>
          <w:rFonts w:hint="eastAsia" w:ascii="宋体" w:hAnsi="宋体" w:eastAsia="宋体" w:cs="宋体"/>
          <w:b/>
          <w:sz w:val="28"/>
          <w:szCs w:val="28"/>
          <w:highlight w:val="none"/>
          <w:lang w:val="en-US" w:eastAsia="zh-CN"/>
        </w:rPr>
      </w:pPr>
    </w:p>
    <w:p>
      <w:pPr>
        <w:rPr>
          <w:rFonts w:hint="eastAsia" w:ascii="宋体" w:hAnsi="宋体" w:eastAsia="宋体" w:cs="宋体"/>
          <w:b/>
          <w:sz w:val="28"/>
          <w:szCs w:val="28"/>
          <w:highlight w:val="none"/>
          <w:lang w:val="en-US" w:eastAsia="zh-CN"/>
        </w:rPr>
      </w:pPr>
    </w:p>
    <w:p>
      <w:pPr>
        <w:keepNext w:val="0"/>
        <w:keepLines w:val="0"/>
        <w:pageBreakBefore w:val="0"/>
        <w:kinsoku/>
        <w:overflowPunct/>
        <w:topLinePunct w:val="0"/>
        <w:bidi w:val="0"/>
        <w:spacing w:line="440" w:lineRule="exact"/>
        <w:outlineLvl w:val="9"/>
        <w:rPr>
          <w:rFonts w:hint="eastAsia"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九、技术商务评分汇总表</w:t>
      </w:r>
    </w:p>
    <w:p>
      <w:pPr>
        <w:pStyle w:val="19"/>
        <w:keepNext w:val="0"/>
        <w:keepLines w:val="0"/>
        <w:pageBreakBefore w:val="0"/>
        <w:kinsoku/>
        <w:overflowPunct/>
        <w:topLinePunct w:val="0"/>
        <w:bidi w:val="0"/>
        <w:spacing w:line="440" w:lineRule="exact"/>
        <w:outlineLvl w:val="9"/>
        <w:rPr>
          <w:highlight w:val="none"/>
        </w:rPr>
      </w:pP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
          <w:bCs/>
          <w:sz w:val="44"/>
          <w:szCs w:val="44"/>
          <w:highlight w:val="none"/>
        </w:rPr>
        <w:t>技术商务评分汇总表</w:t>
      </w:r>
    </w:p>
    <w:p>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16"/>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参评供应商名称</w:t>
            </w: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评委1评分</w:t>
            </w: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评委2评分</w:t>
            </w: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评委3评分</w:t>
            </w: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评委4评分</w:t>
            </w: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Cs w:val="21"/>
                <w:highlight w:val="none"/>
              </w:rPr>
            </w:pPr>
            <w:r>
              <w:rPr>
                <w:rFonts w:hint="eastAsia" w:ascii="宋体" w:hAnsi="宋体" w:cs="宋体"/>
                <w:sz w:val="24"/>
                <w:highlight w:val="none"/>
              </w:rPr>
              <w:t>评委5评分</w:t>
            </w: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平均得分</w:t>
            </w: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adjustRightInd w:val="0"/>
        <w:snapToGrid w:val="0"/>
        <w:spacing w:line="440" w:lineRule="exact"/>
        <w:outlineLvl w:val="9"/>
        <w:rPr>
          <w:highlight w:val="none"/>
        </w:rPr>
      </w:pPr>
      <w:r>
        <w:rPr>
          <w:rFonts w:hint="eastAsia" w:ascii="宋体" w:hAnsi="宋体" w:cs="宋体"/>
          <w:bCs/>
          <w:sz w:val="24"/>
          <w:highlight w:val="none"/>
        </w:rPr>
        <w:t>评审日期：</w:t>
      </w: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overflowPunct/>
        <w:topLinePunct w:val="0"/>
        <w:bidi w:val="0"/>
        <w:spacing w:line="440" w:lineRule="exact"/>
        <w:ind w:firstLine="420" w:firstLineChars="200"/>
        <w:outlineLvl w:val="9"/>
        <w:rPr>
          <w:rFonts w:hint="eastAsia"/>
          <w:highlight w:val="none"/>
        </w:rPr>
      </w:pPr>
    </w:p>
    <w:p>
      <w:pPr>
        <w:keepNext w:val="0"/>
        <w:keepLines w:val="0"/>
        <w:pageBreakBefore w:val="0"/>
        <w:kinsoku/>
        <w:overflowPunct/>
        <w:topLinePunct w:val="0"/>
        <w:bidi w:val="0"/>
        <w:spacing w:line="440" w:lineRule="exact"/>
        <w:ind w:firstLine="420" w:firstLineChars="200"/>
        <w:outlineLvl w:val="9"/>
        <w:rPr>
          <w:rFonts w:hint="eastAsia"/>
          <w:highlight w:val="none"/>
        </w:rPr>
      </w:pPr>
    </w:p>
    <w:p>
      <w:pPr>
        <w:keepNext w:val="0"/>
        <w:keepLines w:val="0"/>
        <w:pageBreakBefore w:val="0"/>
        <w:kinsoku/>
        <w:overflowPunct/>
        <w:topLinePunct w:val="0"/>
        <w:bidi w:val="0"/>
        <w:spacing w:line="440" w:lineRule="exact"/>
        <w:outlineLvl w:val="9"/>
        <w:rPr>
          <w:rFonts w:ascii="宋体" w:hAnsi="宋体" w:eastAsia="宋体" w:cs="宋体"/>
          <w:sz w:val="24"/>
          <w:highlight w:val="none"/>
        </w:rPr>
      </w:pPr>
      <w:r>
        <w:rPr>
          <w:rFonts w:hint="eastAsia" w:ascii="宋体" w:hAnsi="宋体" w:eastAsia="宋体" w:cs="宋体"/>
          <w:sz w:val="24"/>
          <w:highlight w:val="none"/>
        </w:rPr>
        <w:t>十、价格评分汇总表</w:t>
      </w:r>
    </w:p>
    <w:p>
      <w:pPr>
        <w:keepNext w:val="0"/>
        <w:keepLines w:val="0"/>
        <w:pageBreakBefore w:val="0"/>
        <w:widowControl w:val="0"/>
        <w:kinsoku/>
        <w:overflowPunct/>
        <w:topLinePunct w:val="0"/>
        <w:bidi w:val="0"/>
        <w:spacing w:line="440" w:lineRule="exact"/>
        <w:jc w:val="left"/>
        <w:outlineLvl w:val="9"/>
        <w:rPr>
          <w:rFonts w:ascii="Calibri" w:hAnsi="Calibri" w:eastAsia="宋体" w:cs="Times New Roman"/>
          <w:kern w:val="2"/>
          <w:sz w:val="28"/>
          <w:szCs w:val="28"/>
          <w:highlight w:val="none"/>
          <w:lang w:val="en-US" w:eastAsia="zh-CN" w:bidi="ar-SA"/>
        </w:rPr>
      </w:pPr>
    </w:p>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b/>
          <w:bCs/>
          <w:sz w:val="44"/>
          <w:szCs w:val="44"/>
          <w:highlight w:val="none"/>
        </w:rPr>
        <w:t>价格评分汇总表</w:t>
      </w:r>
    </w:p>
    <w:p>
      <w:pPr>
        <w:keepNext w:val="0"/>
        <w:keepLines w:val="0"/>
        <w:pageBreakBefore w:val="0"/>
        <w:kinsoku/>
        <w:overflowPunct/>
        <w:topLinePunct w:val="0"/>
        <w:bidi w:val="0"/>
        <w:spacing w:line="440" w:lineRule="exact"/>
        <w:outlineLvl w:val="9"/>
        <w:rPr>
          <w:rFonts w:ascii="宋体" w:hAnsi="宋体" w:eastAsia="宋体" w:cs="宋体"/>
          <w:sz w:val="24"/>
          <w:highlight w:val="none"/>
        </w:rPr>
      </w:pPr>
    </w:p>
    <w:tbl>
      <w:tblPr>
        <w:tblStyle w:val="16"/>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序号</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参评供应商名称</w:t>
            </w:r>
          </w:p>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（按报名顺序排列）</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Cs w:val="21"/>
                <w:highlight w:val="none"/>
                <w:lang w:val="en-US" w:eastAsia="zh-CN"/>
              </w:rPr>
              <w:t>评标价格</w:t>
            </w:r>
            <w:r>
              <w:rPr>
                <w:rFonts w:hint="eastAsia" w:ascii="宋体" w:hAnsi="宋体" w:eastAsia="宋体" w:cs="宋体"/>
                <w:szCs w:val="21"/>
                <w:highlight w:val="none"/>
              </w:rPr>
              <w:t>（元）</w:t>
            </w:r>
          </w:p>
        </w:tc>
        <w:tc>
          <w:tcPr>
            <w:tcW w:w="111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Cs w:val="21"/>
                <w:highlight w:val="none"/>
                <w:lang w:val="en-US" w:eastAsia="zh-CN"/>
              </w:rPr>
              <w:t>基准</w:t>
            </w:r>
            <w:r>
              <w:rPr>
                <w:rFonts w:hint="eastAsia" w:ascii="宋体" w:hAnsi="宋体" w:eastAsia="宋体" w:cs="宋体"/>
                <w:szCs w:val="21"/>
                <w:highlight w:val="none"/>
              </w:rPr>
              <w:t>价格（元）</w:t>
            </w: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Cs w:val="21"/>
                <w:highlight w:val="none"/>
              </w:rPr>
              <w:t>得分</w:t>
            </w:r>
          </w:p>
        </w:tc>
        <w:tc>
          <w:tcPr>
            <w:tcW w:w="84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1</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供应商A</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restart"/>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2</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供应商B</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continue"/>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3</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供应商C</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continue"/>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continue"/>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eastAsia="宋体" w:cs="宋体"/>
          <w:b/>
          <w:sz w:val="24"/>
          <w:highlight w:val="none"/>
        </w:rPr>
      </w:pPr>
      <w:r>
        <w:rPr>
          <w:rFonts w:hint="eastAsia" w:ascii="宋体" w:hAnsi="宋体" w:eastAsia="宋体" w:cs="宋体"/>
          <w:b/>
          <w:sz w:val="24"/>
          <w:highlight w:val="none"/>
        </w:rPr>
        <w:t>注：上述表格可手写或打印，但不能涂改。</w:t>
      </w:r>
    </w:p>
    <w:p>
      <w:pPr>
        <w:keepNext w:val="0"/>
        <w:keepLines w:val="0"/>
        <w:pageBreakBefore w:val="0"/>
        <w:kinsoku/>
        <w:overflowPunct/>
        <w:topLinePunct w:val="0"/>
        <w:bidi w:val="0"/>
        <w:adjustRightInd w:val="0"/>
        <w:snapToGrid w:val="0"/>
        <w:spacing w:line="440" w:lineRule="exact"/>
        <w:outlineLvl w:val="9"/>
        <w:rPr>
          <w:rFonts w:ascii="宋体" w:hAnsi="宋体" w:eastAsia="宋体" w:cs="宋体"/>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eastAsia="宋体" w:cs="宋体"/>
          <w:bCs/>
          <w:sz w:val="24"/>
          <w:highlight w:val="none"/>
        </w:rPr>
      </w:pPr>
      <w:r>
        <w:rPr>
          <w:rFonts w:hint="eastAsia" w:ascii="宋体" w:hAnsi="宋体" w:eastAsia="宋体" w:cs="宋体"/>
          <w:sz w:val="24"/>
          <w:highlight w:val="none"/>
        </w:rPr>
        <w:t>评标委员会</w:t>
      </w:r>
      <w:r>
        <w:rPr>
          <w:rFonts w:hint="eastAsia" w:ascii="宋体" w:hAnsi="宋体" w:eastAsia="宋体" w:cs="宋体"/>
          <w:sz w:val="24"/>
          <w:highlight w:val="none"/>
          <w:lang w:val="en-US" w:eastAsia="zh-CN"/>
        </w:rPr>
        <w:t>全体</w:t>
      </w:r>
      <w:r>
        <w:rPr>
          <w:rFonts w:hint="eastAsia" w:ascii="宋体" w:hAnsi="宋体" w:eastAsia="宋体" w:cs="宋体"/>
          <w:bCs/>
          <w:sz w:val="24"/>
          <w:highlight w:val="none"/>
        </w:rPr>
        <w:t xml:space="preserve">成员签名：             </w:t>
      </w:r>
    </w:p>
    <w:p>
      <w:pPr>
        <w:keepNext w:val="0"/>
        <w:keepLines w:val="0"/>
        <w:pageBreakBefore w:val="0"/>
        <w:kinsoku/>
        <w:overflowPunct/>
        <w:topLinePunct w:val="0"/>
        <w:bidi w:val="0"/>
        <w:adjustRightInd w:val="0"/>
        <w:snapToGrid w:val="0"/>
        <w:spacing w:line="440" w:lineRule="exact"/>
        <w:outlineLvl w:val="9"/>
        <w:rPr>
          <w:rFonts w:ascii="宋体" w:hAnsi="宋体" w:eastAsia="宋体" w:cs="宋体"/>
          <w:bCs/>
          <w:sz w:val="24"/>
          <w:highlight w:val="none"/>
        </w:rPr>
      </w:pPr>
    </w:p>
    <w:p>
      <w:pPr>
        <w:keepNext w:val="0"/>
        <w:keepLines w:val="0"/>
        <w:pageBreakBefore w:val="0"/>
        <w:kinsoku/>
        <w:overflowPunct/>
        <w:topLinePunct w:val="0"/>
        <w:bidi w:val="0"/>
        <w:spacing w:line="440" w:lineRule="exact"/>
        <w:outlineLvl w:val="9"/>
        <w:rPr>
          <w:rFonts w:ascii="宋体" w:hAnsi="宋体" w:eastAsia="宋体" w:cs="宋体"/>
          <w:sz w:val="24"/>
          <w:highlight w:val="none"/>
        </w:rPr>
      </w:pPr>
      <w:r>
        <w:rPr>
          <w:rFonts w:hint="eastAsia" w:ascii="宋体" w:hAnsi="宋体" w:eastAsia="宋体" w:cs="宋体"/>
          <w:bCs/>
          <w:sz w:val="24"/>
          <w:highlight w:val="none"/>
        </w:rPr>
        <w:t>评审日期：</w:t>
      </w: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hint="eastAsia"/>
          <w:highlight w:val="none"/>
        </w:rPr>
      </w:pPr>
    </w:p>
    <w:p>
      <w:pPr>
        <w:keepNext w:val="0"/>
        <w:keepLines w:val="0"/>
        <w:pageBreakBefore w:val="0"/>
        <w:kinsoku/>
        <w:overflowPunct/>
        <w:topLinePunct w:val="0"/>
        <w:bidi w:val="0"/>
        <w:spacing w:line="440" w:lineRule="exact"/>
        <w:ind w:firstLine="0" w:firstLineChars="0"/>
        <w:outlineLvl w:val="9"/>
        <w:rPr>
          <w:rFonts w:ascii="宋体" w:hAnsi="宋体" w:cs="宋体"/>
          <w:sz w:val="24"/>
          <w:highlight w:val="none"/>
        </w:rPr>
      </w:pPr>
      <w:r>
        <w:rPr>
          <w:rFonts w:hint="eastAsia"/>
          <w:highlight w:val="none"/>
        </w:rPr>
        <w:t>十</w:t>
      </w:r>
      <w:r>
        <w:rPr>
          <w:rFonts w:hint="eastAsia"/>
          <w:highlight w:val="none"/>
          <w:lang w:val="en-US" w:eastAsia="zh-CN"/>
        </w:rPr>
        <w:t>一</w:t>
      </w:r>
      <w:r>
        <w:rPr>
          <w:rFonts w:hint="eastAsia" w:ascii="宋体" w:hAnsi="宋体" w:cs="宋体"/>
          <w:sz w:val="24"/>
          <w:highlight w:val="none"/>
        </w:rPr>
        <w:t>、评审结果汇总表</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评审结果汇总表</w:t>
      </w:r>
    </w:p>
    <w:p>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16"/>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930"/>
        <w:gridCol w:w="1037"/>
        <w:gridCol w:w="1095"/>
        <w:gridCol w:w="844"/>
        <w:gridCol w:w="1366"/>
        <w:gridCol w:w="1105"/>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潜在供应商名称</w:t>
            </w: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资格评审情况</w:t>
            </w:r>
          </w:p>
        </w:tc>
        <w:tc>
          <w:tcPr>
            <w:tcW w:w="1095"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单价报价（元）</w:t>
            </w:r>
          </w:p>
        </w:tc>
        <w:tc>
          <w:tcPr>
            <w:tcW w:w="844"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价格</w:t>
            </w:r>
            <w:r>
              <w:rPr>
                <w:rFonts w:hint="eastAsia" w:ascii="宋体" w:hAnsi="宋体" w:cs="宋体"/>
                <w:sz w:val="24"/>
                <w:szCs w:val="24"/>
                <w:highlight w:val="none"/>
              </w:rPr>
              <w:t>得分</w:t>
            </w:r>
          </w:p>
        </w:tc>
        <w:tc>
          <w:tcPr>
            <w:tcW w:w="1366"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技术商务平均得分</w:t>
            </w:r>
          </w:p>
        </w:tc>
        <w:tc>
          <w:tcPr>
            <w:tcW w:w="1105"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总得分</w:t>
            </w: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p>
        </w:tc>
        <w:tc>
          <w:tcPr>
            <w:tcW w:w="84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4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4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4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注：1.资格评审情况填“通过”或“不通过”。</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2.上述表格可手写或打印，但不能涂改。</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sz w:val="24"/>
          <w:highlight w:val="none"/>
        </w:rPr>
        <w:t xml:space="preserve">成员签名：                              </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评审日期：</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cs="宋体"/>
          <w:b/>
          <w:bCs w:val="0"/>
          <w:sz w:val="40"/>
          <w:szCs w:val="40"/>
          <w:highlight w:val="none"/>
          <w:lang w:val="en-US" w:eastAsia="zh-CN"/>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cs="宋体"/>
          <w:b/>
          <w:bCs w:val="0"/>
          <w:sz w:val="40"/>
          <w:szCs w:val="40"/>
          <w:highlight w:val="none"/>
          <w:lang w:val="en-US" w:eastAsia="zh-CN"/>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cs="宋体"/>
          <w:b/>
          <w:bCs w:val="0"/>
          <w:sz w:val="40"/>
          <w:szCs w:val="40"/>
          <w:highlight w:val="none"/>
          <w:lang w:val="en-US" w:eastAsia="zh-CN"/>
        </w:rPr>
      </w:pPr>
    </w:p>
    <w:p>
      <w:pPr>
        <w:keepNext w:val="0"/>
        <w:keepLines w:val="0"/>
        <w:pageBreakBefore w:val="0"/>
        <w:kinsoku/>
        <w:overflowPunct/>
        <w:topLinePunct w:val="0"/>
        <w:bidi w:val="0"/>
        <w:adjustRightInd w:val="0"/>
        <w:snapToGrid w:val="0"/>
        <w:spacing w:line="440" w:lineRule="exact"/>
        <w:jc w:val="both"/>
        <w:outlineLvl w:val="9"/>
        <w:rPr>
          <w:rFonts w:hint="eastAsia"/>
          <w:b/>
          <w:bCs/>
          <w:sz w:val="44"/>
          <w:szCs w:val="44"/>
          <w:highlight w:val="none"/>
        </w:rPr>
      </w:pPr>
    </w:p>
    <w:p>
      <w:pPr>
        <w:keepNext w:val="0"/>
        <w:keepLines w:val="0"/>
        <w:pageBreakBefore w:val="0"/>
        <w:kinsoku/>
        <w:overflowPunct/>
        <w:topLinePunct w:val="0"/>
        <w:bidi w:val="0"/>
        <w:adjustRightInd w:val="0"/>
        <w:snapToGrid w:val="0"/>
        <w:spacing w:line="440" w:lineRule="exact"/>
        <w:jc w:val="center"/>
        <w:outlineLvl w:val="9"/>
        <w:rPr>
          <w:rFonts w:hint="eastAsia"/>
          <w:b/>
          <w:bCs/>
          <w:sz w:val="44"/>
          <w:szCs w:val="44"/>
          <w:highlight w:val="none"/>
        </w:rPr>
      </w:pPr>
    </w:p>
    <w:p>
      <w:pPr>
        <w:keepNext w:val="0"/>
        <w:keepLines w:val="0"/>
        <w:pageBreakBefore w:val="0"/>
        <w:kinsoku/>
        <w:overflowPunct/>
        <w:topLinePunct w:val="0"/>
        <w:bidi w:val="0"/>
        <w:adjustRightInd w:val="0"/>
        <w:snapToGrid w:val="0"/>
        <w:spacing w:line="440" w:lineRule="exact"/>
        <w:jc w:val="center"/>
        <w:outlineLvl w:val="9"/>
        <w:rPr>
          <w:rFonts w:hint="eastAsia"/>
          <w:b/>
          <w:bCs/>
          <w:sz w:val="44"/>
          <w:szCs w:val="44"/>
          <w:highlight w:val="none"/>
        </w:rPr>
      </w:pPr>
    </w:p>
    <w:p>
      <w:pPr>
        <w:keepNext w:val="0"/>
        <w:keepLines w:val="0"/>
        <w:pageBreakBefore w:val="0"/>
        <w:kinsoku/>
        <w:overflowPunct/>
        <w:topLinePunct w:val="0"/>
        <w:bidi w:val="0"/>
        <w:adjustRightInd w:val="0"/>
        <w:snapToGrid w:val="0"/>
        <w:spacing w:line="440" w:lineRule="exact"/>
        <w:jc w:val="both"/>
        <w:outlineLvl w:val="9"/>
        <w:rPr>
          <w:rFonts w:hint="eastAsia"/>
          <w:b/>
          <w:bCs/>
          <w:sz w:val="44"/>
          <w:szCs w:val="44"/>
          <w:highlight w:val="none"/>
        </w:rPr>
      </w:pPr>
    </w:p>
    <w:p>
      <w:pPr>
        <w:keepNext w:val="0"/>
        <w:keepLines w:val="0"/>
        <w:pageBreakBefore w:val="0"/>
        <w:kinsoku/>
        <w:overflowPunct/>
        <w:topLinePunct w:val="0"/>
        <w:bidi w:val="0"/>
        <w:adjustRightInd w:val="0"/>
        <w:snapToGrid w:val="0"/>
        <w:spacing w:line="440" w:lineRule="exact"/>
        <w:jc w:val="center"/>
        <w:outlineLvl w:val="9"/>
        <w:rPr>
          <w:b/>
          <w:bCs/>
          <w:sz w:val="44"/>
          <w:szCs w:val="44"/>
          <w:highlight w:val="none"/>
        </w:rPr>
      </w:pPr>
      <w:r>
        <w:rPr>
          <w:rFonts w:hint="eastAsia"/>
          <w:b/>
          <w:bCs/>
          <w:sz w:val="44"/>
          <w:szCs w:val="44"/>
          <w:highlight w:val="none"/>
        </w:rPr>
        <w:t>第四部分  参评响应文件格式</w:t>
      </w:r>
    </w:p>
    <w:p>
      <w:pPr>
        <w:keepNext w:val="0"/>
        <w:keepLines w:val="0"/>
        <w:pageBreakBefore w:val="0"/>
        <w:kinsoku/>
        <w:wordWrap/>
        <w:overflowPunct/>
        <w:topLinePunct w:val="0"/>
        <w:bidi w:val="0"/>
        <w:adjustRightInd w:val="0"/>
        <w:snapToGrid w:val="0"/>
        <w:spacing w:line="560" w:lineRule="exact"/>
        <w:rPr>
          <w:rFonts w:ascii="仿宋_GB2312" w:eastAsia="仿宋_GB2312"/>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spacing w:line="2400" w:lineRule="exact"/>
        <w:jc w:val="center"/>
        <w:rPr>
          <w:rFonts w:hint="eastAsia"/>
          <w:b/>
          <w:spacing w:val="100"/>
          <w:w w:val="110"/>
          <w:sz w:val="32"/>
          <w:szCs w:val="32"/>
          <w:highlight w:val="none"/>
        </w:rPr>
      </w:pPr>
      <w:r>
        <w:rPr>
          <w:rFonts w:hint="eastAsia"/>
          <w:b/>
          <w:spacing w:val="100"/>
          <w:w w:val="110"/>
          <w:sz w:val="84"/>
          <w:szCs w:val="84"/>
          <w:highlight w:val="none"/>
          <w:lang w:val="en-US" w:eastAsia="zh-CN"/>
        </w:rPr>
        <w:t>参评</w:t>
      </w:r>
      <w:r>
        <w:rPr>
          <w:rFonts w:hint="eastAsia"/>
          <w:b/>
          <w:spacing w:val="100"/>
          <w:w w:val="110"/>
          <w:sz w:val="84"/>
          <w:szCs w:val="84"/>
          <w:highlight w:val="none"/>
        </w:rPr>
        <w:t>文件</w:t>
      </w:r>
    </w:p>
    <w:p>
      <w:pPr>
        <w:pStyle w:val="7"/>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r>
        <w:rPr>
          <w:rFonts w:hint="eastAsia" w:ascii="Times New Roman" w:hAnsi="Times New Roman"/>
          <w:b/>
          <w:sz w:val="32"/>
          <w:szCs w:val="32"/>
          <w:highlight w:val="none"/>
        </w:rPr>
        <w:t>项目名称：</w:t>
      </w:r>
    </w:p>
    <w:p>
      <w:pPr>
        <w:pStyle w:val="7"/>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参评</w:t>
      </w:r>
      <w:r>
        <w:rPr>
          <w:rFonts w:hint="eastAsia" w:ascii="Times New Roman" w:hAnsi="Times New Roman"/>
          <w:b/>
          <w:sz w:val="32"/>
          <w:szCs w:val="32"/>
          <w:highlight w:val="none"/>
        </w:rPr>
        <w:t>人名称：</w:t>
      </w:r>
    </w:p>
    <w:p>
      <w:pPr>
        <w:pStyle w:val="7"/>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keepNext w:val="0"/>
        <w:keepLines w:val="0"/>
        <w:pageBreakBefore w:val="0"/>
        <w:kinsoku/>
        <w:wordWrap/>
        <w:overflowPunct/>
        <w:topLinePunct w:val="0"/>
        <w:bidi w:val="0"/>
        <w:adjustRightInd w:val="0"/>
        <w:snapToGrid w:val="0"/>
        <w:spacing w:line="560" w:lineRule="exact"/>
        <w:ind w:firstLine="1606" w:firstLineChars="500"/>
        <w:rPr>
          <w:rFonts w:hint="eastAsia" w:ascii="宋体" w:hAnsi="宋体"/>
          <w:b/>
          <w:bCs/>
          <w:sz w:val="24"/>
          <w:highlight w:val="none"/>
        </w:rPr>
      </w:pPr>
      <w:r>
        <w:rPr>
          <w:rFonts w:hint="eastAsia" w:ascii="Times New Roman" w:hAnsi="Times New Roman"/>
          <w:b/>
          <w:sz w:val="32"/>
          <w:szCs w:val="32"/>
          <w:highlight w:val="none"/>
        </w:rPr>
        <w:t xml:space="preserve">日   </w:t>
      </w: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 xml:space="preserve">  期：</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15"/>
        <w:rPr>
          <w:rFonts w:hint="eastAsia" w:ascii="宋体" w:hAnsi="宋体"/>
          <w:b/>
          <w:bCs/>
          <w:sz w:val="24"/>
          <w:highlight w:val="none"/>
        </w:rPr>
      </w:pPr>
    </w:p>
    <w:p>
      <w:pPr>
        <w:rPr>
          <w:rFonts w:hint="eastAsia" w:ascii="宋体" w:hAnsi="宋体"/>
          <w:b/>
          <w:bCs/>
          <w:sz w:val="24"/>
          <w:highlight w:val="none"/>
        </w:rPr>
      </w:pPr>
    </w:p>
    <w:p>
      <w:pPr>
        <w:pStyle w:val="15"/>
        <w:rPr>
          <w:rFonts w:hint="eastAsia" w:ascii="宋体" w:hAnsi="宋体"/>
          <w:b/>
          <w:bCs/>
          <w:sz w:val="24"/>
          <w:highlight w:val="none"/>
        </w:rPr>
      </w:pPr>
    </w:p>
    <w:p>
      <w:pPr>
        <w:rPr>
          <w:rFonts w:hint="eastAsia" w:ascii="宋体" w:hAnsi="宋体"/>
          <w:b/>
          <w:bCs/>
          <w:sz w:val="24"/>
          <w:highlight w:val="none"/>
        </w:rPr>
      </w:pPr>
    </w:p>
    <w:p>
      <w:pPr>
        <w:pStyle w:val="15"/>
        <w:rPr>
          <w:rFonts w:hint="eastAsia" w:ascii="宋体" w:hAnsi="宋体"/>
          <w:b/>
          <w:bCs/>
          <w:sz w:val="24"/>
          <w:highlight w:val="none"/>
        </w:rPr>
      </w:pPr>
    </w:p>
    <w:p>
      <w:pPr>
        <w:rPr>
          <w:rFonts w:hint="eastAsia" w:ascii="宋体" w:hAnsi="宋体"/>
          <w:b/>
          <w:bCs/>
          <w:sz w:val="24"/>
          <w:highlight w:val="none"/>
        </w:rPr>
      </w:pPr>
    </w:p>
    <w:p>
      <w:pPr>
        <w:pStyle w:val="15"/>
        <w:rPr>
          <w:rFonts w:hint="eastAsia" w:ascii="宋体" w:hAnsi="宋体"/>
          <w:b/>
          <w:bCs/>
          <w:sz w:val="24"/>
          <w:highlight w:val="none"/>
        </w:rPr>
      </w:pPr>
    </w:p>
    <w:p>
      <w:pPr>
        <w:rPr>
          <w:rFonts w:hint="eastAsia" w:ascii="宋体" w:hAnsi="宋体"/>
          <w:b/>
          <w:bCs/>
          <w:sz w:val="24"/>
          <w:highlight w:val="none"/>
        </w:rPr>
      </w:pPr>
    </w:p>
    <w:p>
      <w:pPr>
        <w:pStyle w:val="15"/>
        <w:rPr>
          <w:rFonts w:hint="eastAsia"/>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格式1 </w:t>
      </w:r>
      <w:r>
        <w:rPr>
          <w:rFonts w:hint="eastAsia" w:ascii="宋体" w:hAnsi="宋体"/>
          <w:b/>
          <w:bCs/>
          <w:sz w:val="24"/>
          <w:highlight w:val="none"/>
        </w:rPr>
        <w:t>承诺函</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中山市公共交通运输集团有限公司网络舆情监测系统</w:t>
      </w:r>
      <w:r>
        <w:rPr>
          <w:rFonts w:hint="eastAsia" w:ascii="宋体" w:hAnsi="宋体" w:cs="宋体"/>
          <w:bCs/>
          <w:sz w:val="24"/>
          <w:highlight w:val="none"/>
          <w:u w:val="single"/>
          <w:lang w:val="en-US" w:eastAsia="zh-CN"/>
        </w:rPr>
        <w:t>采购</w:t>
      </w:r>
      <w:r>
        <w:rPr>
          <w:rFonts w:hint="eastAsia" w:ascii="宋体" w:hAnsi="宋体" w:eastAsia="宋体" w:cs="宋体"/>
          <w:bCs/>
          <w:sz w:val="24"/>
          <w:highlight w:val="none"/>
          <w:u w:val="single"/>
          <w:lang w:val="en-US" w:eastAsia="zh-CN"/>
        </w:rPr>
        <w:t>项目</w:t>
      </w:r>
      <w:r>
        <w:rPr>
          <w:rFonts w:hint="eastAsia" w:ascii="宋体" w:hAnsi="宋体" w:eastAsia="宋体" w:cs="宋体"/>
          <w:bCs/>
          <w:sz w:val="24"/>
          <w:highlight w:val="none"/>
          <w:u w:val="single"/>
          <w:lang w:eastAsia="zh-CN"/>
        </w:rPr>
        <w:t>》</w:t>
      </w:r>
      <w:r>
        <w:rPr>
          <w:rFonts w:hint="eastAsia" w:ascii="宋体" w:hAnsi="宋体" w:cs="宋体"/>
          <w:bCs/>
          <w:sz w:val="24"/>
          <w:highlight w:val="none"/>
          <w:u w:val="none"/>
          <w:lang w:val="en-US" w:eastAsia="zh-CN"/>
        </w:rPr>
        <w:t>采购</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供应商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供应商</w:t>
      </w:r>
      <w:r>
        <w:rPr>
          <w:rFonts w:hint="eastAsia" w:ascii="宋体" w:hAnsi="宋体" w:eastAsia="宋体" w:cs="宋体"/>
          <w:bCs/>
          <w:sz w:val="24"/>
          <w:highlight w:val="none"/>
        </w:rPr>
        <w:t>已正式授权（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cs="宋体"/>
          <w:bCs/>
          <w:sz w:val="24"/>
          <w:highlight w:val="none"/>
          <w:lang w:val="en-US" w:eastAsia="zh-CN"/>
        </w:rPr>
        <w:t>利</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cs="宋体"/>
          <w:bCs/>
          <w:sz w:val="24"/>
          <w:highlight w:val="none"/>
          <w:lang w:val="en-US" w:eastAsia="zh-CN"/>
        </w:rPr>
        <w:t>合同</w:t>
      </w:r>
      <w:r>
        <w:rPr>
          <w:rFonts w:hint="eastAsia" w:ascii="宋体" w:hAnsi="宋体" w:eastAsia="宋体" w:cs="宋体"/>
          <w:bCs/>
          <w:sz w:val="24"/>
          <w:highlight w:val="none"/>
        </w:rPr>
        <w:t>责任和义务，且不会以任何方式转包或分包本项目。</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5.</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供应</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被授权代表签名：</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日期：</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格式</w:t>
      </w:r>
      <w:r>
        <w:rPr>
          <w:rFonts w:hint="eastAsia" w:ascii="宋体" w:hAnsi="宋体"/>
          <w:b/>
          <w:bCs/>
          <w:sz w:val="24"/>
          <w:highlight w:val="none"/>
        </w:rPr>
        <w:t>2</w:t>
      </w:r>
      <w:r>
        <w:rPr>
          <w:rFonts w:hint="eastAsia" w:ascii="宋体" w:hAnsi="宋体"/>
          <w:b/>
          <w:bCs/>
          <w:sz w:val="24"/>
          <w:highlight w:val="none"/>
          <w:lang w:val="en-US" w:eastAsia="zh-CN"/>
        </w:rPr>
        <w:t xml:space="preserve"> </w:t>
      </w:r>
      <w:r>
        <w:rPr>
          <w:rFonts w:hint="eastAsia" w:ascii="宋体" w:hAnsi="宋体"/>
          <w:b/>
          <w:bCs/>
          <w:sz w:val="24"/>
          <w:highlight w:val="none"/>
        </w:rPr>
        <w:t>法定代表人授权委托书及</w:t>
      </w:r>
      <w:r>
        <w:rPr>
          <w:rFonts w:ascii="宋体" w:hAnsi="宋体"/>
          <w:b/>
          <w:bCs/>
          <w:sz w:val="24"/>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u w:val="single"/>
          <w:lang w:val="en-US" w:eastAsia="zh-CN"/>
        </w:rPr>
        <w:t>中山市公共交通运输集团有限公司网络舆情监测系统</w:t>
      </w:r>
      <w:r>
        <w:rPr>
          <w:rFonts w:hint="eastAsia" w:ascii="宋体" w:hAnsi="宋体" w:cs="宋体"/>
          <w:bCs/>
          <w:sz w:val="24"/>
          <w:highlight w:val="none"/>
          <w:u w:val="single"/>
          <w:lang w:val="en-US" w:eastAsia="zh-CN"/>
        </w:rPr>
        <w:t>采购</w:t>
      </w:r>
      <w:r>
        <w:rPr>
          <w:rFonts w:hint="eastAsia" w:ascii="宋体" w:hAnsi="宋体" w:eastAsia="宋体" w:cs="宋体"/>
          <w:bCs/>
          <w:sz w:val="24"/>
          <w:highlight w:val="none"/>
          <w:u w:val="single"/>
          <w:lang w:val="en-US" w:eastAsia="zh-CN"/>
        </w:rPr>
        <w:t>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参评供应商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签</w:t>
      </w:r>
      <w:r>
        <w:rPr>
          <w:rFonts w:hint="eastAsia" w:ascii="宋体" w:hAnsi="宋体" w:eastAsia="宋体" w:cs="宋体"/>
          <w:bCs/>
          <w:sz w:val="24"/>
          <w:highlight w:val="none"/>
          <w:lang w:val="en-US" w:eastAsia="zh-CN"/>
        </w:rPr>
        <w:t>名</w:t>
      </w:r>
      <w:r>
        <w:rPr>
          <w:rFonts w:hint="eastAsia" w:ascii="宋体" w:hAnsi="宋体" w:eastAsia="宋体" w:cs="宋体"/>
          <w:bCs/>
          <w:sz w:val="24"/>
          <w:highlight w:val="none"/>
        </w:rPr>
        <w:t>代表为法定代表人，则本委托书不适用。</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tabs>
          <w:tab w:val="left" w:pos="900"/>
        </w:tabs>
        <w:kinsoku/>
        <w:wordWrap/>
        <w:overflowPunct/>
        <w:topLinePunct w:val="0"/>
        <w:bidi w:val="0"/>
        <w:spacing w:line="560" w:lineRule="exact"/>
        <w:rPr>
          <w:rFonts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both"/>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mtQIdcAAAAJAQAADwAAAAAAAAABACAAAAAiAAAAZHJzL2Rvd25yZXYueG1sUEsBAhQAFAAAAAgA&#10;h07iQCJZSm5fAgAArwQAAA4AAAAAAAAAAQAgAAAAJgEAAGRycy9lMm9Eb2MueG1sUEsFBgAAAAAG&#10;AAYAWQEAAPcFAAAAAA==&#10;">
                <v:fill on="t" focussize="0,0"/>
                <v:stroke color="#000000" miterlimit="8" joinstyle="miter"/>
                <v:imagedata o:title=""/>
                <o:lock v:ext="edit" aspectratio="f"/>
                <v:textbox>
                  <w:txbxContent>
                    <w:p>
                      <w:pPr>
                        <w:jc w:val="center"/>
                        <w:rPr>
                          <w:rFonts w:hAnsi="宋体"/>
                          <w:szCs w:val="21"/>
                        </w:rPr>
                      </w:pPr>
                    </w:p>
                    <w:p>
                      <w:pPr>
                        <w:jc w:val="both"/>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宋体" w:hAnsi="宋体"/>
          <w:bCs/>
          <w:sz w:val="24"/>
          <w:highlight w:val="none"/>
        </w:rPr>
      </w:pPr>
      <w:r>
        <w:rPr>
          <w:rFonts w:hint="eastAsia" w:ascii="宋体" w:hAnsi="宋体"/>
          <w:bCs/>
          <w:sz w:val="24"/>
          <w:highlight w:val="none"/>
        </w:rPr>
        <w:t xml:space="preserve">                                           </w:t>
      </w:r>
    </w:p>
    <w:p>
      <w:pPr>
        <w:keepNext w:val="0"/>
        <w:keepLines w:val="0"/>
        <w:pageBreakBefore w:val="0"/>
        <w:kinsoku/>
        <w:wordWrap/>
        <w:overflowPunct/>
        <w:topLinePunct w:val="0"/>
        <w:bidi w:val="0"/>
        <w:adjustRightInd w:val="0"/>
        <w:snapToGrid w:val="0"/>
        <w:spacing w:line="560" w:lineRule="exact"/>
        <w:rPr>
          <w:rFonts w:ascii="宋体" w:hAnsi="宋体"/>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15"/>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格式3 营业执照、资质证书、税务登记证、组织机构代码证等，或“三证合一”的营业执照</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r>
        <w:rPr>
          <w:rFonts w:hint="eastAsia" w:ascii="宋体" w:hAnsi="宋体" w:cs="宋体"/>
          <w:b/>
          <w:sz w:val="40"/>
          <w:szCs w:val="40"/>
          <w:highlight w:val="none"/>
          <w:lang w:val="en-US" w:eastAsia="zh-CN"/>
        </w:rPr>
        <w:t>营业执照、资质证书、税务登记证、组织机构代码证等，或“三证合一”的营业执照</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格式4 服务方案</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r>
        <w:rPr>
          <w:rFonts w:hint="eastAsia" w:ascii="宋体" w:hAnsi="宋体" w:cs="宋体"/>
          <w:b/>
          <w:sz w:val="40"/>
          <w:szCs w:val="40"/>
          <w:highlight w:val="none"/>
          <w:lang w:val="en-US" w:eastAsia="zh-CN"/>
        </w:rPr>
        <w:t>舆情系统方案</w:t>
      </w:r>
    </w:p>
    <w:p>
      <w:pPr>
        <w:keepNext w:val="0"/>
        <w:keepLines w:val="0"/>
        <w:pageBreakBefore w:val="0"/>
        <w:kinsoku/>
        <w:wordWrap/>
        <w:overflowPunct/>
        <w:topLinePunct w:val="0"/>
        <w:bidi w:val="0"/>
        <w:spacing w:line="560" w:lineRule="exact"/>
        <w:jc w:val="center"/>
        <w:rPr>
          <w:rFonts w:hint="default" w:ascii="宋体" w:hAnsi="宋体" w:cs="宋体"/>
          <w:b/>
          <w:sz w:val="40"/>
          <w:szCs w:val="40"/>
          <w:highlight w:val="none"/>
          <w:lang w:val="en-US" w:eastAsia="zh-CN"/>
        </w:rPr>
      </w:pPr>
      <w:r>
        <w:rPr>
          <w:rFonts w:hint="eastAsia" w:ascii="宋体" w:hAnsi="宋体" w:cs="宋体"/>
          <w:b/>
          <w:sz w:val="40"/>
          <w:szCs w:val="40"/>
          <w:highlight w:val="none"/>
          <w:lang w:val="en-US" w:eastAsia="zh-CN"/>
        </w:rPr>
        <w:t>（对用户需求及技术商务评分响应资料）</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格式5 </w:t>
      </w:r>
      <w:r>
        <w:rPr>
          <w:rFonts w:hint="eastAsia" w:ascii="宋体" w:hAnsi="宋体"/>
          <w:b/>
          <w:bCs/>
          <w:sz w:val="24"/>
          <w:highlight w:val="none"/>
        </w:rPr>
        <w:t>报价表</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highlight w:val="none"/>
        </w:rPr>
      </w:pPr>
      <w:r>
        <w:rPr>
          <w:rFonts w:hint="eastAsia" w:ascii="宋体" w:hAnsi="宋体" w:cs="仿宋_GB2312"/>
          <w:b/>
          <w:sz w:val="44"/>
          <w:szCs w:val="44"/>
          <w:highlight w:val="none"/>
        </w:rPr>
        <w:t>报价表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项目名称：中山市公共交通运输集团有限公司网络舆情监测系统</w:t>
      </w:r>
      <w:r>
        <w:rPr>
          <w:rFonts w:hint="eastAsia" w:ascii="宋体" w:hAnsi="宋体" w:cs="宋体"/>
          <w:b/>
          <w:bCs/>
          <w:sz w:val="22"/>
          <w:szCs w:val="22"/>
          <w:highlight w:val="none"/>
          <w:lang w:val="en-US" w:eastAsia="zh-CN"/>
        </w:rPr>
        <w:t>采购</w:t>
      </w:r>
      <w:r>
        <w:rPr>
          <w:rFonts w:hint="eastAsia" w:ascii="宋体" w:hAnsi="宋体" w:eastAsia="宋体" w:cs="宋体"/>
          <w:b/>
          <w:bCs/>
          <w:sz w:val="22"/>
          <w:szCs w:val="22"/>
          <w:highlight w:val="none"/>
          <w:lang w:val="en-US" w:eastAsia="zh-CN"/>
        </w:rPr>
        <w:t>项目</w:t>
      </w:r>
    </w:p>
    <w:tbl>
      <w:tblPr>
        <w:tblStyle w:val="16"/>
        <w:tblW w:w="5219" w:type="pct"/>
        <w:tblInd w:w="0" w:type="dxa"/>
        <w:tblLayout w:type="fixed"/>
        <w:tblCellMar>
          <w:top w:w="0" w:type="dxa"/>
          <w:left w:w="108" w:type="dxa"/>
          <w:bottom w:w="0" w:type="dxa"/>
          <w:right w:w="108" w:type="dxa"/>
        </w:tblCellMar>
      </w:tblPr>
      <w:tblGrid>
        <w:gridCol w:w="2505"/>
        <w:gridCol w:w="3991"/>
        <w:gridCol w:w="2400"/>
      </w:tblGrid>
      <w:tr>
        <w:tblPrEx>
          <w:tblCellMar>
            <w:top w:w="0" w:type="dxa"/>
            <w:left w:w="108" w:type="dxa"/>
            <w:bottom w:w="0" w:type="dxa"/>
            <w:right w:w="108" w:type="dxa"/>
          </w:tblCellMar>
        </w:tblPrEx>
        <w:trPr>
          <w:trHeight w:val="435" w:hRule="atLeast"/>
          <w:tblHeader/>
        </w:trPr>
        <w:tc>
          <w:tcPr>
            <w:tcW w:w="14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项目</w:t>
            </w:r>
          </w:p>
        </w:tc>
        <w:tc>
          <w:tcPr>
            <w:tcW w:w="2243"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合作期限</w:t>
            </w:r>
          </w:p>
        </w:tc>
        <w:tc>
          <w:tcPr>
            <w:tcW w:w="134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宋体" w:eastAsia="仿宋_GB2312" w:cs="宋体"/>
                <w:b/>
                <w:bCs/>
                <w:kern w:val="0"/>
                <w:sz w:val="28"/>
                <w:szCs w:val="28"/>
                <w:highlight w:val="none"/>
                <w:lang w:eastAsia="zh-CN"/>
              </w:rPr>
            </w:pPr>
            <w:r>
              <w:rPr>
                <w:rFonts w:hint="eastAsia" w:ascii="仿宋_GB2312" w:hAnsi="宋体" w:eastAsia="仿宋_GB2312" w:cs="宋体"/>
                <w:b/>
                <w:bCs/>
                <w:kern w:val="0"/>
                <w:sz w:val="28"/>
                <w:szCs w:val="28"/>
                <w:highlight w:val="none"/>
                <w:lang w:val="en-US" w:eastAsia="zh-CN"/>
              </w:rPr>
              <w:t>总价（元，含税）</w:t>
            </w:r>
          </w:p>
        </w:tc>
      </w:tr>
      <w:tr>
        <w:tblPrEx>
          <w:tblCellMar>
            <w:top w:w="0" w:type="dxa"/>
            <w:left w:w="108" w:type="dxa"/>
            <w:bottom w:w="0" w:type="dxa"/>
            <w:right w:w="108" w:type="dxa"/>
          </w:tblCellMar>
        </w:tblPrEx>
        <w:trPr>
          <w:trHeight w:val="822" w:hRule="atLeast"/>
        </w:trPr>
        <w:tc>
          <w:tcPr>
            <w:tcW w:w="1407" w:type="pc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textAlignment w:val="center"/>
              <w:rPr>
                <w:rFonts w:hint="eastAsia" w:ascii="宋体" w:hAnsi="宋体" w:cs="宋体"/>
                <w:bCs/>
                <w:sz w:val="24"/>
                <w:szCs w:val="24"/>
              </w:rPr>
            </w:pPr>
            <w:r>
              <w:rPr>
                <w:rFonts w:hint="eastAsia" w:ascii="宋体" w:hAnsi="宋体" w:cs="宋体"/>
                <w:bCs/>
                <w:sz w:val="24"/>
                <w:szCs w:val="24"/>
              </w:rPr>
              <w:t>网络舆情监测系统</w:t>
            </w:r>
          </w:p>
          <w:p>
            <w:pPr>
              <w:keepNext w:val="0"/>
              <w:keepLines w:val="0"/>
              <w:pageBreakBefore w:val="0"/>
              <w:kinsoku/>
              <w:wordWrap/>
              <w:overflowPunct/>
              <w:topLinePunct w:val="0"/>
              <w:bidi w:val="0"/>
              <w:spacing w:line="560" w:lineRule="exact"/>
              <w:jc w:val="center"/>
              <w:textAlignment w:val="center"/>
              <w:rPr>
                <w:rFonts w:ascii="仿宋_GB2312" w:hAnsi="宋体" w:eastAsia="仿宋_GB2312" w:cs="宋体"/>
                <w:sz w:val="28"/>
                <w:szCs w:val="28"/>
                <w:highlight w:val="none"/>
              </w:rPr>
            </w:pPr>
            <w:r>
              <w:rPr>
                <w:rFonts w:hint="eastAsia" w:ascii="宋体" w:hAnsi="宋体" w:cs="宋体"/>
                <w:bCs/>
                <w:sz w:val="24"/>
                <w:szCs w:val="24"/>
                <w:lang w:val="en-US" w:eastAsia="zh-CN"/>
              </w:rPr>
              <w:t>采购</w:t>
            </w:r>
            <w:r>
              <w:rPr>
                <w:rFonts w:hint="eastAsia" w:ascii="宋体" w:hAnsi="宋体" w:cs="宋体"/>
                <w:bCs/>
                <w:sz w:val="24"/>
                <w:szCs w:val="24"/>
              </w:rPr>
              <w:t>项目</w:t>
            </w:r>
          </w:p>
        </w:tc>
        <w:tc>
          <w:tcPr>
            <w:tcW w:w="2243"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r>
              <w:rPr>
                <w:rFonts w:hint="eastAsia" w:ascii="宋体" w:hAnsi="宋体" w:eastAsia="宋体" w:cs="宋体"/>
                <w:szCs w:val="21"/>
                <w:u w:val="single"/>
              </w:rPr>
              <w:t>20</w:t>
            </w:r>
            <w:r>
              <w:rPr>
                <w:rFonts w:hint="eastAsia" w:ascii="宋体" w:hAnsi="宋体" w:eastAsia="宋体" w:cs="宋体"/>
                <w:szCs w:val="21"/>
                <w:u w:val="single"/>
                <w:lang w:val="en-US" w:eastAsia="zh-CN"/>
              </w:rPr>
              <w:t>2</w:t>
            </w:r>
            <w:r>
              <w:rPr>
                <w:rFonts w:hint="eastAsia" w:ascii="宋体" w:hAnsi="宋体" w:cs="宋体"/>
                <w:szCs w:val="21"/>
                <w:u w:val="single"/>
                <w:lang w:val="en-US" w:eastAsia="zh-CN"/>
              </w:rPr>
              <w:t>4</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cs="宋体"/>
                <w:szCs w:val="21"/>
                <w:u w:val="single"/>
                <w:lang w:val="en-US" w:eastAsia="zh-CN"/>
              </w:rPr>
              <w:t>X</w:t>
            </w:r>
            <w:r>
              <w:rPr>
                <w:rFonts w:hint="eastAsia" w:ascii="宋体" w:hAnsi="宋体" w:eastAsia="宋体" w:cs="宋体"/>
                <w:szCs w:val="21"/>
              </w:rPr>
              <w:t>月</w:t>
            </w:r>
            <w:r>
              <w:rPr>
                <w:rFonts w:hint="eastAsia" w:ascii="宋体" w:hAnsi="宋体" w:cs="宋体"/>
                <w:szCs w:val="21"/>
                <w:u w:val="single"/>
                <w:lang w:val="en-US" w:eastAsia="zh-CN"/>
              </w:rPr>
              <w:t>X</w:t>
            </w:r>
            <w:r>
              <w:rPr>
                <w:rFonts w:hint="eastAsia" w:ascii="宋体" w:hAnsi="宋体" w:eastAsia="宋体" w:cs="宋体"/>
                <w:szCs w:val="21"/>
              </w:rPr>
              <w:t>日起至</w:t>
            </w:r>
            <w:r>
              <w:rPr>
                <w:rFonts w:hint="eastAsia" w:ascii="宋体" w:hAnsi="宋体" w:eastAsia="宋体" w:cs="宋体"/>
                <w:szCs w:val="21"/>
                <w:u w:val="single"/>
              </w:rPr>
              <w:t>20</w:t>
            </w:r>
            <w:r>
              <w:rPr>
                <w:rFonts w:hint="eastAsia" w:ascii="宋体" w:hAnsi="宋体" w:eastAsia="宋体" w:cs="宋体"/>
                <w:szCs w:val="21"/>
                <w:u w:val="single"/>
                <w:lang w:val="en-US" w:eastAsia="zh-CN"/>
              </w:rPr>
              <w:t>2</w:t>
            </w:r>
            <w:r>
              <w:rPr>
                <w:rFonts w:hint="eastAsia" w:ascii="宋体" w:hAnsi="宋体" w:cs="宋体"/>
                <w:szCs w:val="21"/>
                <w:u w:val="single"/>
                <w:lang w:val="en-US" w:eastAsia="zh-CN"/>
              </w:rPr>
              <w:t>5</w:t>
            </w:r>
            <w:r>
              <w:rPr>
                <w:rFonts w:hint="eastAsia" w:ascii="宋体" w:hAnsi="宋体" w:eastAsia="宋体" w:cs="宋体"/>
                <w:szCs w:val="21"/>
              </w:rPr>
              <w:t>年</w:t>
            </w:r>
            <w:r>
              <w:rPr>
                <w:rFonts w:hint="eastAsia" w:ascii="宋体" w:hAnsi="宋体" w:cs="宋体"/>
                <w:szCs w:val="21"/>
                <w:u w:val="single"/>
                <w:lang w:val="en-US" w:eastAsia="zh-CN"/>
              </w:rPr>
              <w:t>X</w:t>
            </w:r>
            <w:r>
              <w:rPr>
                <w:rFonts w:hint="eastAsia" w:ascii="宋体" w:hAnsi="宋体" w:eastAsia="宋体" w:cs="宋体"/>
                <w:szCs w:val="21"/>
              </w:rPr>
              <w:t>月</w:t>
            </w:r>
            <w:r>
              <w:rPr>
                <w:rFonts w:hint="eastAsia" w:ascii="宋体" w:hAnsi="宋体" w:cs="宋体"/>
                <w:szCs w:val="21"/>
                <w:u w:val="single"/>
                <w:lang w:val="en-US" w:eastAsia="zh-CN"/>
              </w:rPr>
              <w:t>X</w:t>
            </w:r>
            <w:r>
              <w:rPr>
                <w:rFonts w:hint="eastAsia" w:ascii="宋体" w:hAnsi="宋体" w:eastAsia="宋体" w:cs="宋体"/>
                <w:szCs w:val="21"/>
              </w:rPr>
              <w:t>日止</w:t>
            </w:r>
          </w:p>
        </w:tc>
        <w:tc>
          <w:tcPr>
            <w:tcW w:w="134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sz w:val="24"/>
          <w:highlight w:val="none"/>
        </w:rPr>
      </w:pPr>
      <w:r>
        <w:rPr>
          <w:rFonts w:hint="eastAsia" w:ascii="宋体" w:hAnsi="宋体"/>
          <w:bCs/>
          <w:sz w:val="24"/>
          <w:highlight w:val="none"/>
        </w:rPr>
        <w:t>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w:t>
      </w:r>
      <w:r>
        <w:rPr>
          <w:rFonts w:hint="eastAsia" w:ascii="宋体" w:hAnsi="宋体" w:cs="宋体"/>
          <w:bCs/>
          <w:sz w:val="24"/>
          <w:szCs w:val="24"/>
          <w:highlight w:val="none"/>
          <w:lang w:val="en-US" w:eastAsia="zh-CN"/>
        </w:rPr>
        <w:t>舆情监测平台使用</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网络舆情处理</w:t>
      </w:r>
      <w:r>
        <w:rPr>
          <w:rFonts w:hint="eastAsia" w:ascii="宋体" w:hAnsi="宋体" w:eastAsia="宋体" w:cs="宋体"/>
          <w:bCs/>
          <w:sz w:val="24"/>
          <w:szCs w:val="24"/>
          <w:highlight w:val="none"/>
          <w:lang w:val="en-US" w:eastAsia="zh-CN"/>
        </w:rPr>
        <w:t>等全部费用，未经</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书面同意，</w:t>
      </w:r>
      <w:r>
        <w:rPr>
          <w:rFonts w:hint="eastAsia" w:ascii="宋体" w:hAnsi="宋体" w:cs="宋体"/>
          <w:bCs/>
          <w:sz w:val="24"/>
          <w:szCs w:val="24"/>
          <w:highlight w:val="none"/>
          <w:lang w:val="en-US" w:eastAsia="zh-CN"/>
        </w:rPr>
        <w:t>供应商</w:t>
      </w:r>
      <w:r>
        <w:rPr>
          <w:rFonts w:hint="eastAsia" w:ascii="宋体" w:hAnsi="宋体" w:eastAsia="宋体" w:cs="宋体"/>
          <w:bCs/>
          <w:sz w:val="24"/>
          <w:szCs w:val="24"/>
          <w:highlight w:val="none"/>
          <w:lang w:val="en-US" w:eastAsia="zh-CN"/>
        </w:rPr>
        <w:t>不得向</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额外收取其他费用。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、参</w:t>
      </w:r>
      <w:r>
        <w:rPr>
          <w:rFonts w:hint="eastAsia" w:ascii="宋体" w:hAnsi="宋体" w:cs="宋体"/>
          <w:bCs/>
          <w:sz w:val="24"/>
          <w:szCs w:val="24"/>
          <w:highlight w:val="none"/>
          <w:lang w:val="en-US" w:eastAsia="zh-CN"/>
        </w:rPr>
        <w:t>评</w:t>
      </w:r>
      <w:r>
        <w:rPr>
          <w:rFonts w:hint="eastAsia" w:ascii="宋体" w:hAnsi="宋体" w:eastAsia="宋体" w:cs="宋体"/>
          <w:bCs/>
          <w:sz w:val="24"/>
          <w:szCs w:val="24"/>
          <w:highlight w:val="none"/>
        </w:rPr>
        <w:t>文件中的大写金额和小写金额不一致的，以大写金额为准。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3、本</w:t>
      </w:r>
      <w:r>
        <w:rPr>
          <w:rFonts w:hint="eastAsia" w:ascii="宋体" w:hAnsi="宋体" w:cs="宋体"/>
          <w:bCs/>
          <w:sz w:val="24"/>
          <w:szCs w:val="24"/>
          <w:highlight w:val="none"/>
          <w:lang w:val="en-US" w:eastAsia="zh-CN"/>
        </w:rPr>
        <w:t>报价表</w:t>
      </w:r>
      <w:r>
        <w:rPr>
          <w:rFonts w:hint="eastAsia" w:ascii="宋体" w:hAnsi="宋体" w:eastAsia="宋体" w:cs="宋体"/>
          <w:bCs/>
          <w:sz w:val="24"/>
          <w:szCs w:val="24"/>
          <w:highlight w:val="none"/>
          <w:lang w:val="en-US" w:eastAsia="zh-CN"/>
        </w:rPr>
        <w:t>价格自报名</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pPr>
        <w:keepNext w:val="0"/>
        <w:keepLines w:val="0"/>
        <w:pageBreakBefore w:val="0"/>
        <w:kinsoku/>
        <w:wordWrap/>
        <w:overflowPunct/>
        <w:topLinePunct w:val="0"/>
        <w:bidi w:val="0"/>
        <w:spacing w:line="560" w:lineRule="exact"/>
        <w:ind w:firstLine="360" w:firstLineChars="150"/>
        <w:rPr>
          <w:rFonts w:hint="eastAsia" w:ascii="宋体" w:hAnsi="宋体" w:eastAsia="宋体" w:cs="宋体"/>
          <w:bCs/>
          <w:kern w:val="28"/>
          <w:sz w:val="24"/>
          <w:szCs w:val="24"/>
          <w:highlight w:val="none"/>
          <w:lang w:val="en-US"/>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w:t>
      </w:r>
      <w:r>
        <w:rPr>
          <w:rFonts w:hint="eastAsia" w:ascii="宋体" w:hAnsi="宋体" w:cs="宋体"/>
          <w:bCs/>
          <w:sz w:val="24"/>
          <w:szCs w:val="24"/>
          <w:highlight w:val="none"/>
          <w:lang w:val="en-US" w:eastAsia="zh-CN"/>
        </w:rPr>
        <w:t>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 xml:space="preserve">授权代表（签字）：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pStyle w:val="15"/>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p>
      <w:pPr>
        <w:keepNext w:val="0"/>
        <w:keepLines w:val="0"/>
        <w:pageBreakBefore w:val="0"/>
        <w:widowControl/>
        <w:kinsoku/>
        <w:wordWrap/>
        <w:overflowPunct/>
        <w:topLinePunct w:val="0"/>
        <w:bidi w:val="0"/>
        <w:spacing w:line="560" w:lineRule="exact"/>
        <w:jc w:val="left"/>
        <w:rPr>
          <w:rFonts w:hint="eastAsia" w:ascii="宋体" w:hAnsi="宋体" w:eastAsia="宋体" w:cs="宋体"/>
          <w:color w:val="auto"/>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pStyle w:val="12"/>
        <w:keepNext w:val="0"/>
        <w:keepLines w:val="0"/>
        <w:pageBreakBefore w:val="0"/>
        <w:kinsoku/>
        <w:wordWrap/>
        <w:overflowPunct/>
        <w:topLinePunct w:val="0"/>
        <w:bidi w:val="0"/>
        <w:spacing w:line="560" w:lineRule="exact"/>
        <w:rPr>
          <w:rFonts w:hint="eastAsia"/>
          <w:highlight w:val="none"/>
        </w:rPr>
      </w:pPr>
    </w:p>
    <w:p>
      <w:pPr>
        <w:pStyle w:val="15"/>
        <w:ind w:firstLine="0" w:firstLineChars="0"/>
        <w:rPr>
          <w:rFonts w:hint="eastAsia"/>
        </w:rPr>
      </w:pPr>
    </w:p>
    <w:p>
      <w:pPr>
        <w:keepNext w:val="0"/>
        <w:keepLines w:val="0"/>
        <w:pageBreakBefore w:val="0"/>
        <w:kinsoku/>
        <w:overflowPunct/>
        <w:topLinePunct w:val="0"/>
        <w:bidi w:val="0"/>
        <w:spacing w:line="440" w:lineRule="exact"/>
        <w:outlineLvl w:val="9"/>
        <w:rPr>
          <w:rFonts w:hint="eastAsia" w:ascii="宋体" w:hAnsi="宋体"/>
          <w:b/>
          <w:bCs/>
          <w:sz w:val="24"/>
          <w:highlight w:val="none"/>
        </w:rPr>
      </w:pPr>
    </w:p>
    <w:p>
      <w:pPr>
        <w:keepNext w:val="0"/>
        <w:keepLines w:val="0"/>
        <w:pageBreakBefore w:val="0"/>
        <w:kinsoku/>
        <w:overflowPunct/>
        <w:topLinePunct w:val="0"/>
        <w:bidi w:val="0"/>
        <w:spacing w:line="440" w:lineRule="exact"/>
        <w:outlineLvl w:val="9"/>
        <w:rPr>
          <w:rFonts w:hint="eastAsia" w:ascii="宋体" w:hAnsi="宋体"/>
          <w:b/>
          <w:bCs/>
          <w:sz w:val="24"/>
          <w:highlight w:val="none"/>
        </w:rPr>
      </w:pPr>
    </w:p>
    <w:p>
      <w:pPr>
        <w:keepNext w:val="0"/>
        <w:keepLines w:val="0"/>
        <w:pageBreakBefore w:val="0"/>
        <w:kinsoku/>
        <w:overflowPunct/>
        <w:topLinePunct w:val="0"/>
        <w:bidi w:val="0"/>
        <w:spacing w:line="440" w:lineRule="exact"/>
        <w:outlineLvl w:val="9"/>
        <w:rPr>
          <w:highlight w:val="none"/>
        </w:rPr>
      </w:pPr>
      <w:r>
        <w:rPr>
          <w:rFonts w:hint="eastAsia" w:ascii="宋体" w:hAnsi="宋体"/>
          <w:b/>
          <w:bCs/>
          <w:sz w:val="24"/>
          <w:highlight w:val="none"/>
        </w:rPr>
        <w:t>格式</w:t>
      </w:r>
      <w:r>
        <w:rPr>
          <w:rFonts w:hint="eastAsia" w:ascii="宋体" w:hAnsi="宋体"/>
          <w:b/>
          <w:bCs/>
          <w:sz w:val="24"/>
          <w:highlight w:val="none"/>
          <w:lang w:val="en-US" w:eastAsia="zh-CN"/>
        </w:rPr>
        <w:t>6</w:t>
      </w:r>
      <w:r>
        <w:rPr>
          <w:rFonts w:hint="eastAsia" w:ascii="宋体" w:hAnsi="宋体"/>
          <w:b/>
          <w:bCs/>
          <w:sz w:val="24"/>
          <w:highlight w:val="none"/>
        </w:rPr>
        <w:t xml:space="preserve"> 需求响应表</w:t>
      </w:r>
    </w:p>
    <w:p>
      <w:pPr>
        <w:keepNext w:val="0"/>
        <w:keepLines w:val="0"/>
        <w:pageBreakBefore w:val="0"/>
        <w:kinsoku/>
        <w:overflowPunct/>
        <w:topLinePunct w:val="0"/>
        <w:bidi w:val="0"/>
        <w:spacing w:line="440" w:lineRule="exact"/>
        <w:outlineLvl w:val="9"/>
        <w:rPr>
          <w:highlight w:val="none"/>
        </w:rPr>
      </w:pPr>
    </w:p>
    <w:p>
      <w:pPr>
        <w:keepNext w:val="0"/>
        <w:keepLines w:val="0"/>
        <w:pageBreakBefore w:val="0"/>
        <w:kinsoku/>
        <w:overflowPunct/>
        <w:topLinePunct w:val="0"/>
        <w:bidi w:val="0"/>
        <w:spacing w:line="440" w:lineRule="exact"/>
        <w:jc w:val="center"/>
        <w:outlineLvl w:val="9"/>
        <w:rPr>
          <w:sz w:val="44"/>
          <w:szCs w:val="44"/>
          <w:highlight w:val="none"/>
        </w:rPr>
      </w:pPr>
      <w:r>
        <w:rPr>
          <w:rFonts w:hint="eastAsia" w:ascii="宋体" w:hAnsi="宋体" w:cs="仿宋_GB2312"/>
          <w:b/>
          <w:sz w:val="44"/>
          <w:szCs w:val="44"/>
          <w:highlight w:val="none"/>
        </w:rPr>
        <w:t>需求响应表</w:t>
      </w:r>
    </w:p>
    <w:p>
      <w:pPr>
        <w:keepNext w:val="0"/>
        <w:keepLines w:val="0"/>
        <w:pageBreakBefore w:val="0"/>
        <w:kinsoku/>
        <w:overflowPunct/>
        <w:topLinePunct w:val="0"/>
        <w:bidi w:val="0"/>
        <w:adjustRightInd w:val="0"/>
        <w:snapToGrid w:val="0"/>
        <w:spacing w:line="440" w:lineRule="exact"/>
        <w:jc w:val="left"/>
        <w:outlineLvl w:val="9"/>
        <w:rPr>
          <w:rFonts w:ascii="宋体" w:hAnsi="宋体" w:cs="宋体"/>
          <w:b/>
          <w:bCs/>
          <w:sz w:val="24"/>
          <w:highlight w:val="none"/>
        </w:rPr>
      </w:pPr>
    </w:p>
    <w:p>
      <w:pPr>
        <w:keepNext w:val="0"/>
        <w:keepLines w:val="0"/>
        <w:pageBreakBefore w:val="0"/>
        <w:kinsoku/>
        <w:overflowPunct/>
        <w:topLinePunct w:val="0"/>
        <w:bidi w:val="0"/>
        <w:adjustRightInd w:val="0"/>
        <w:snapToGrid w:val="0"/>
        <w:spacing w:line="440" w:lineRule="exact"/>
        <w:jc w:val="left"/>
        <w:outlineLvl w:val="9"/>
        <w:rPr>
          <w:rFonts w:hint="eastAsia" w:eastAsia="宋体"/>
          <w:spacing w:val="-11"/>
          <w:sz w:val="44"/>
          <w:szCs w:val="44"/>
          <w:highlight w:val="none"/>
          <w:lang w:eastAsia="zh-CN"/>
        </w:rPr>
      </w:pPr>
      <w:r>
        <w:rPr>
          <w:rFonts w:hint="eastAsia" w:ascii="宋体" w:hAnsi="宋体" w:cs="宋体"/>
          <w:b/>
          <w:bCs/>
          <w:spacing w:val="-11"/>
          <w:sz w:val="24"/>
          <w:highlight w:val="none"/>
        </w:rPr>
        <w:t>项目名称：中山市公共交通运输集团有限公司</w:t>
      </w:r>
      <w:r>
        <w:rPr>
          <w:rFonts w:hint="eastAsia" w:ascii="宋体" w:hAnsi="宋体" w:cs="宋体"/>
          <w:b/>
          <w:bCs/>
          <w:spacing w:val="-11"/>
          <w:sz w:val="24"/>
          <w:highlight w:val="none"/>
          <w:lang w:val="en-US" w:eastAsia="zh-CN"/>
        </w:rPr>
        <w:t>网络舆情监测系统采购项目</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序号</w:t>
            </w:r>
          </w:p>
        </w:tc>
        <w:tc>
          <w:tcPr>
            <w:tcW w:w="4945"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条款要求</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响应情况</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1</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完全理解并接受采购文件</w:t>
            </w:r>
            <w:r>
              <w:rPr>
                <w:rFonts w:hint="eastAsia" w:ascii="宋体" w:hAnsi="宋体"/>
                <w:szCs w:val="21"/>
                <w:highlight w:val="none"/>
                <w:lang w:val="en-GB"/>
              </w:rPr>
              <w:t>所列</w:t>
            </w:r>
            <w:r>
              <w:rPr>
                <w:rFonts w:hint="eastAsia" w:ascii="宋体" w:hAnsi="宋体"/>
                <w:szCs w:val="21"/>
                <w:highlight w:val="none"/>
              </w:rPr>
              <w:t>条款的要求。</w:t>
            </w:r>
          </w:p>
        </w:tc>
        <w:tc>
          <w:tcPr>
            <w:tcW w:w="1642" w:type="dxa"/>
            <w:vAlign w:val="center"/>
          </w:tcPr>
          <w:p>
            <w:pPr>
              <w:pStyle w:val="21"/>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2</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完全理解供应商资质要求。</w:t>
            </w:r>
          </w:p>
        </w:tc>
        <w:tc>
          <w:tcPr>
            <w:tcW w:w="1642" w:type="dxa"/>
            <w:vAlign w:val="center"/>
          </w:tcPr>
          <w:p>
            <w:pPr>
              <w:pStyle w:val="21"/>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3</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完全理解并接受对参评供应商的各项须知、规约要求和责任义务。</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4</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用户需求书关于服务</w:t>
            </w:r>
            <w:r>
              <w:rPr>
                <w:rFonts w:hint="eastAsia" w:ascii="宋体" w:hAnsi="宋体"/>
                <w:szCs w:val="21"/>
                <w:highlight w:val="none"/>
                <w:lang w:val="en-US" w:eastAsia="zh-CN"/>
              </w:rPr>
              <w:t>需求</w:t>
            </w:r>
            <w:r>
              <w:rPr>
                <w:rFonts w:hint="eastAsia" w:ascii="宋体" w:hAnsi="宋体"/>
                <w:szCs w:val="21"/>
                <w:highlight w:val="none"/>
              </w:rPr>
              <w:t>。</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5</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关于付款方式。</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pStyle w:val="21"/>
              <w:keepNext w:val="0"/>
              <w:keepLines w:val="0"/>
              <w:pageBreakBefore w:val="0"/>
              <w:kinsoku/>
              <w:overflowPunct/>
              <w:topLinePunct w:val="0"/>
              <w:bidi w:val="0"/>
              <w:adjustRightInd/>
              <w:spacing w:before="0" w:after="0" w:line="440" w:lineRule="exact"/>
              <w:textAlignment w:val="auto"/>
              <w:outlineLvl w:val="9"/>
              <w:rPr>
                <w:rFonts w:ascii="宋体" w:hAnsi="宋体"/>
                <w:snapToGrid/>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6</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报价内容均涵盖报价要求之一切费用和伴随服务。</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7</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bl>
    <w:p>
      <w:pPr>
        <w:keepNext w:val="0"/>
        <w:keepLines w:val="0"/>
        <w:pageBreakBefore w:val="0"/>
        <w:kinsoku/>
        <w:overflowPunct/>
        <w:topLinePunct w:val="0"/>
        <w:bidi w:val="0"/>
        <w:spacing w:line="440" w:lineRule="exact"/>
        <w:ind w:left="630" w:hanging="630" w:hangingChars="300"/>
        <w:jc w:val="left"/>
        <w:outlineLvl w:val="9"/>
        <w:rPr>
          <w:rFonts w:ascii="宋体" w:hAnsi="宋体"/>
          <w:szCs w:val="21"/>
          <w:highlight w:val="none"/>
          <w:lang w:val="en-GB"/>
        </w:rPr>
      </w:pPr>
    </w:p>
    <w:p>
      <w:pPr>
        <w:keepNext w:val="0"/>
        <w:keepLines w:val="0"/>
        <w:pageBreakBefore w:val="0"/>
        <w:kinsoku/>
        <w:overflowPunct/>
        <w:topLinePunct w:val="0"/>
        <w:bidi w:val="0"/>
        <w:spacing w:line="440" w:lineRule="exact"/>
        <w:jc w:val="left"/>
        <w:outlineLvl w:val="9"/>
        <w:rPr>
          <w:sz w:val="44"/>
          <w:szCs w:val="44"/>
          <w:highlight w:val="none"/>
        </w:rPr>
      </w:pPr>
      <w:r>
        <w:rPr>
          <w:rFonts w:hint="eastAsia" w:ascii="宋体" w:hAnsi="宋体"/>
          <w:szCs w:val="21"/>
          <w:highlight w:val="none"/>
        </w:rPr>
        <w:t>注：对于上述要求，如参评供应商完全响应，则请在“响应情况”栏的“完全响应”框打“√”，对空白或“部分响应”框打“√”视为偏离，请在“偏离说明”栏内扼要说明偏离情况。</w:t>
      </w:r>
    </w:p>
    <w:p>
      <w:pPr>
        <w:keepNext w:val="0"/>
        <w:keepLines w:val="0"/>
        <w:pageBreakBefore w:val="0"/>
        <w:kinsoku/>
        <w:overflowPunct/>
        <w:topLinePunct w:val="0"/>
        <w:bidi w:val="0"/>
        <w:spacing w:line="440" w:lineRule="exact"/>
        <w:jc w:val="center"/>
        <w:outlineLvl w:val="9"/>
        <w:rPr>
          <w:sz w:val="44"/>
          <w:szCs w:val="4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参评供应商（盖章）：</w:t>
      </w:r>
    </w:p>
    <w:p>
      <w:pPr>
        <w:keepNext w:val="0"/>
        <w:keepLines w:val="0"/>
        <w:pageBreakBefore w:val="0"/>
        <w:kinsoku/>
        <w:overflowPunct/>
        <w:topLinePunct w:val="0"/>
        <w:bidi w:val="0"/>
        <w:adjustRightInd w:val="0"/>
        <w:snapToGrid w:val="0"/>
        <w:spacing w:line="440" w:lineRule="exact"/>
        <w:outlineLvl w:val="9"/>
        <w:rPr>
          <w:rFonts w:ascii="宋体" w:hAnsi="宋体" w:cs="宋体"/>
          <w:sz w:val="24"/>
          <w:highlight w:val="none"/>
        </w:rPr>
      </w:pPr>
      <w:r>
        <w:rPr>
          <w:rFonts w:hint="eastAsia" w:ascii="宋体" w:hAnsi="宋体"/>
          <w:bCs/>
          <w:sz w:val="24"/>
          <w:highlight w:val="none"/>
        </w:rPr>
        <w:t>日期：</w:t>
      </w: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spacing w:line="560" w:lineRule="exact"/>
        <w:jc w:val="center"/>
        <w:outlineLvl w:val="0"/>
        <w:rPr>
          <w:rFonts w:hint="eastAsia" w:ascii="Times New Roman" w:hAnsi="Times New Roman" w:eastAsia="宋体" w:cs="Times New Roman"/>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lang w:eastAsia="zh-CN"/>
        </w:rPr>
      </w:pPr>
      <w:r>
        <w:rPr>
          <w:rFonts w:hint="eastAsia" w:ascii="Times New Roman" w:hAnsi="Times New Roman" w:eastAsia="宋体" w:cs="Times New Roman"/>
          <w:b/>
          <w:bCs/>
          <w:sz w:val="44"/>
          <w:szCs w:val="44"/>
          <w:highlight w:val="none"/>
        </w:rPr>
        <w:t>第</w:t>
      </w:r>
      <w:r>
        <w:rPr>
          <w:rFonts w:hint="eastAsia" w:ascii="Times New Roman" w:hAnsi="Times New Roman" w:eastAsia="宋体" w:cs="Times New Roman"/>
          <w:b/>
          <w:bCs/>
          <w:sz w:val="44"/>
          <w:szCs w:val="44"/>
          <w:highlight w:val="none"/>
          <w:lang w:val="en-US" w:eastAsia="zh-CN"/>
        </w:rPr>
        <w:t>五</w:t>
      </w:r>
      <w:r>
        <w:rPr>
          <w:rFonts w:hint="eastAsia" w:ascii="Times New Roman" w:hAnsi="Times New Roman" w:eastAsia="宋体" w:cs="Times New Roman"/>
          <w:b/>
          <w:bCs/>
          <w:sz w:val="44"/>
          <w:szCs w:val="44"/>
          <w:highlight w:val="none"/>
        </w:rPr>
        <w:t>部分  合同</w:t>
      </w:r>
      <w:r>
        <w:rPr>
          <w:rFonts w:hint="eastAsia" w:ascii="Times New Roman" w:hAnsi="Times New Roman" w:eastAsia="宋体" w:cs="Times New Roman"/>
          <w:b/>
          <w:bCs/>
          <w:sz w:val="44"/>
          <w:szCs w:val="44"/>
          <w:highlight w:val="none"/>
          <w:lang w:val="en-US" w:eastAsia="zh-CN"/>
        </w:rPr>
        <w:t>格式</w:t>
      </w:r>
      <w:r>
        <w:rPr>
          <w:rFonts w:hint="eastAsia" w:ascii="宋体" w:hAnsi="宋体" w:cs="宋体"/>
          <w:b/>
          <w:sz w:val="40"/>
          <w:szCs w:val="40"/>
          <w:highlight w:val="none"/>
          <w:lang w:val="en-US" w:eastAsia="zh-CN"/>
        </w:rPr>
        <w:t xml:space="preserve"> </w:t>
      </w:r>
    </w:p>
    <w:p>
      <w:pPr>
        <w:keepNext w:val="0"/>
        <w:keepLines w:val="0"/>
        <w:pageBreakBefore w:val="0"/>
        <w:kinsoku/>
        <w:wordWrap/>
        <w:overflowPunct/>
        <w:topLinePunct w:val="0"/>
        <w:bidi w:val="0"/>
        <w:spacing w:line="560" w:lineRule="exact"/>
        <w:jc w:val="center"/>
        <w:rPr>
          <w:rFonts w:hint="eastAsia" w:ascii="宋体" w:hAnsi="宋体" w:eastAsia="宋体" w:cs="宋体"/>
          <w:b/>
          <w:sz w:val="40"/>
          <w:szCs w:val="40"/>
          <w:highlight w:val="none"/>
        </w:rPr>
      </w:pP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（本合同仅供参考，双方在签订合同时可根据实际情况作相应修改）</w:t>
      </w:r>
    </w:p>
    <w:p>
      <w:pPr>
        <w:jc w:val="both"/>
        <w:rPr>
          <w:rFonts w:hint="eastAsia" w:ascii="宋体" w:hAnsi="宋体" w:eastAsia="宋体" w:cs="宋体"/>
          <w:b/>
          <w:w w:val="84"/>
          <w:kern w:val="0"/>
          <w:sz w:val="44"/>
          <w:szCs w:val="44"/>
          <w:u w:val="none"/>
          <w:shd w:val="clear" w:color="auto" w:fill="auto"/>
        </w:rPr>
      </w:pPr>
    </w:p>
    <w:p>
      <w:pPr>
        <w:jc w:val="center"/>
        <w:rPr>
          <w:rFonts w:hint="eastAsia" w:ascii="宋体" w:hAnsi="宋体" w:eastAsia="宋体" w:cs="宋体"/>
          <w:b/>
          <w:w w:val="84"/>
          <w:kern w:val="0"/>
          <w:sz w:val="44"/>
          <w:szCs w:val="44"/>
          <w:u w:val="none"/>
          <w:shd w:val="clear" w:color="auto" w:fill="auto"/>
        </w:rPr>
      </w:pPr>
    </w:p>
    <w:p>
      <w:pPr>
        <w:pStyle w:val="15"/>
        <w:rPr>
          <w:rFonts w:hint="eastAsia" w:ascii="宋体" w:hAnsi="宋体" w:eastAsia="宋体" w:cs="宋体"/>
          <w:b/>
          <w:w w:val="84"/>
          <w:kern w:val="0"/>
          <w:sz w:val="44"/>
          <w:szCs w:val="44"/>
          <w:u w:val="none"/>
          <w:shd w:val="clear" w:color="auto" w:fill="auto"/>
        </w:rPr>
      </w:pPr>
    </w:p>
    <w:p>
      <w:pPr>
        <w:rPr>
          <w:rFonts w:hint="eastAsia" w:ascii="宋体" w:hAnsi="宋体" w:eastAsia="宋体" w:cs="宋体"/>
          <w:b/>
          <w:w w:val="84"/>
          <w:kern w:val="0"/>
          <w:sz w:val="44"/>
          <w:szCs w:val="44"/>
          <w:u w:val="none"/>
          <w:shd w:val="clear" w:color="auto" w:fill="auto"/>
        </w:rPr>
      </w:pPr>
    </w:p>
    <w:p>
      <w:pPr>
        <w:pStyle w:val="15"/>
        <w:rPr>
          <w:rFonts w:hint="eastAsia" w:ascii="宋体" w:hAnsi="宋体" w:eastAsia="宋体" w:cs="宋体"/>
          <w:b/>
          <w:w w:val="84"/>
          <w:kern w:val="0"/>
          <w:sz w:val="44"/>
          <w:szCs w:val="44"/>
          <w:u w:val="none"/>
          <w:shd w:val="clear" w:color="auto" w:fill="auto"/>
        </w:rPr>
      </w:pPr>
    </w:p>
    <w:p>
      <w:pPr>
        <w:rPr>
          <w:rFonts w:hint="eastAsia" w:ascii="宋体" w:hAnsi="宋体" w:eastAsia="宋体" w:cs="宋体"/>
          <w:b/>
          <w:w w:val="84"/>
          <w:kern w:val="0"/>
          <w:sz w:val="44"/>
          <w:szCs w:val="44"/>
          <w:u w:val="none"/>
          <w:shd w:val="clear" w:color="auto" w:fill="auto"/>
        </w:rPr>
      </w:pPr>
    </w:p>
    <w:p>
      <w:pPr>
        <w:pStyle w:val="15"/>
        <w:rPr>
          <w:rFonts w:hint="eastAsia" w:asciiTheme="minorEastAsia" w:hAnsiTheme="minorEastAsia" w:eastAsiaTheme="minorEastAsia" w:cstheme="minorEastAsia"/>
          <w:b/>
          <w:w w:val="84"/>
          <w:kern w:val="0"/>
          <w:sz w:val="44"/>
          <w:szCs w:val="44"/>
          <w:u w:val="none"/>
          <w:shd w:val="clear" w:color="auto" w:fill="auto"/>
        </w:rPr>
      </w:pPr>
    </w:p>
    <w:p>
      <w:pPr>
        <w:rPr>
          <w:rFonts w:hint="eastAsia" w:asciiTheme="minorEastAsia" w:hAnsiTheme="minorEastAsia" w:eastAsiaTheme="minorEastAsia" w:cstheme="minorEastAsia"/>
          <w:b/>
          <w:w w:val="84"/>
          <w:kern w:val="0"/>
          <w:sz w:val="44"/>
          <w:szCs w:val="44"/>
          <w:u w:val="none"/>
          <w:shd w:val="clear" w:color="auto" w:fill="auto"/>
        </w:rPr>
      </w:pPr>
    </w:p>
    <w:p>
      <w:pPr>
        <w:pStyle w:val="15"/>
        <w:rPr>
          <w:rFonts w:hint="eastAsia" w:asciiTheme="minorEastAsia" w:hAnsiTheme="minorEastAsia" w:eastAsiaTheme="minorEastAsia" w:cstheme="minorEastAsia"/>
          <w:b/>
          <w:w w:val="84"/>
          <w:kern w:val="0"/>
          <w:sz w:val="44"/>
          <w:szCs w:val="44"/>
          <w:u w:val="none"/>
          <w:shd w:val="clear" w:color="auto" w:fill="auto"/>
        </w:rPr>
      </w:pPr>
    </w:p>
    <w:p>
      <w:pPr>
        <w:rPr>
          <w:rFonts w:hint="eastAsia" w:asciiTheme="minorEastAsia" w:hAnsiTheme="minorEastAsia" w:eastAsiaTheme="minorEastAsia" w:cstheme="minorEastAsia"/>
          <w:b/>
          <w:w w:val="84"/>
          <w:kern w:val="0"/>
          <w:sz w:val="44"/>
          <w:szCs w:val="44"/>
          <w:u w:val="none"/>
          <w:shd w:val="clear" w:color="auto" w:fill="auto"/>
        </w:rPr>
      </w:pPr>
    </w:p>
    <w:p>
      <w:pPr>
        <w:rPr>
          <w:rFonts w:hint="eastAsia" w:asciiTheme="minorEastAsia" w:hAnsiTheme="minorEastAsia" w:eastAsiaTheme="minorEastAsia" w:cstheme="minorEastAsia"/>
          <w:b/>
          <w:w w:val="84"/>
          <w:kern w:val="0"/>
          <w:sz w:val="44"/>
          <w:szCs w:val="44"/>
          <w:u w:val="none"/>
          <w:shd w:val="clear" w:color="auto" w:fill="auto"/>
        </w:rPr>
      </w:pPr>
    </w:p>
    <w:p>
      <w:pPr>
        <w:rPr>
          <w:rFonts w:hint="eastAsia" w:asciiTheme="minorEastAsia" w:hAnsiTheme="minorEastAsia" w:eastAsiaTheme="minorEastAsia" w:cstheme="minorEastAsia"/>
          <w:b/>
          <w:w w:val="84"/>
          <w:kern w:val="0"/>
          <w:sz w:val="44"/>
          <w:szCs w:val="44"/>
          <w:u w:val="none"/>
          <w:shd w:val="clear" w:color="auto" w:fill="auto"/>
        </w:rPr>
      </w:pPr>
    </w:p>
    <w:p>
      <w:pPr>
        <w:rPr>
          <w:rFonts w:hint="eastAsia" w:asciiTheme="minorEastAsia" w:hAnsiTheme="minorEastAsia" w:eastAsiaTheme="minorEastAsia" w:cstheme="minorEastAsia"/>
          <w:b/>
          <w:w w:val="84"/>
          <w:kern w:val="0"/>
          <w:sz w:val="44"/>
          <w:szCs w:val="44"/>
          <w:u w:val="none"/>
          <w:shd w:val="clear" w:color="auto" w:fill="auto"/>
        </w:rPr>
      </w:pPr>
    </w:p>
    <w:p>
      <w:pPr>
        <w:rPr>
          <w:rFonts w:hint="eastAsia" w:asciiTheme="minorEastAsia" w:hAnsiTheme="minorEastAsia" w:eastAsiaTheme="minorEastAsia" w:cstheme="minorEastAsia"/>
          <w:b/>
          <w:w w:val="84"/>
          <w:kern w:val="0"/>
          <w:sz w:val="44"/>
          <w:szCs w:val="44"/>
          <w:u w:val="none"/>
          <w:shd w:val="clear" w:color="auto" w:fill="auto"/>
        </w:rPr>
      </w:pPr>
    </w:p>
    <w:p>
      <w:pPr>
        <w:rPr>
          <w:rFonts w:hint="eastAsia" w:asciiTheme="minorEastAsia" w:hAnsiTheme="minorEastAsia" w:eastAsiaTheme="minorEastAsia" w:cstheme="minorEastAsia"/>
          <w:b/>
          <w:w w:val="84"/>
          <w:kern w:val="0"/>
          <w:sz w:val="44"/>
          <w:szCs w:val="44"/>
          <w:u w:val="none"/>
          <w:shd w:val="clear" w:color="auto" w:fill="auto"/>
        </w:rPr>
      </w:pPr>
    </w:p>
    <w:p>
      <w:pPr>
        <w:rPr>
          <w:rFonts w:hint="eastAsia" w:asciiTheme="minorEastAsia" w:hAnsiTheme="minorEastAsia" w:eastAsiaTheme="minorEastAsia" w:cstheme="minorEastAsia"/>
          <w:b/>
          <w:w w:val="84"/>
          <w:kern w:val="0"/>
          <w:sz w:val="44"/>
          <w:szCs w:val="44"/>
          <w:u w:val="none"/>
          <w:shd w:val="clear" w:color="auto" w:fill="auto"/>
        </w:rPr>
      </w:pPr>
    </w:p>
    <w:p>
      <w:pPr>
        <w:pStyle w:val="15"/>
        <w:rPr>
          <w:rFonts w:hint="eastAsia" w:asciiTheme="minorEastAsia" w:hAnsiTheme="minorEastAsia" w:eastAsiaTheme="minorEastAsia" w:cstheme="minorEastAsia"/>
          <w:b/>
          <w:w w:val="84"/>
          <w:kern w:val="0"/>
          <w:sz w:val="44"/>
          <w:szCs w:val="44"/>
          <w:u w:val="none"/>
          <w:shd w:val="clear" w:color="auto" w:fill="auto"/>
        </w:rPr>
      </w:pPr>
    </w:p>
    <w:p>
      <w:pPr>
        <w:ind w:firstLine="480" w:firstLineChars="200"/>
        <w:rPr>
          <w:rFonts w:hint="eastAsia" w:asciiTheme="minorEastAsia" w:hAnsiTheme="minorEastAsia" w:eastAsiaTheme="minorEastAsia" w:cstheme="minor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甲乙双方经友好协商，根据《中华人民共和国民法典》及相关法律法规及电信行业管理规定，现就甲乙双方关于舆情通产品服务合作事宜达成如下约定：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2"/>
          <w:sz w:val="24"/>
          <w:szCs w:val="24"/>
          <w:lang w:val="en-US" w:eastAsia="zh-CN" w:bidi="ar-SA"/>
        </w:rPr>
        <w:t xml:space="preserve">第一条 </w:t>
      </w:r>
      <w:r>
        <w:rPr>
          <w:rFonts w:hint="eastAsia" w:asciiTheme="minorEastAsia" w:hAnsiTheme="minorEastAsia" w:eastAsiaTheme="minorEastAsia" w:cstheme="minorEastAsia"/>
          <w:b/>
          <w:bCs/>
          <w:sz w:val="24"/>
        </w:rPr>
        <w:t>合作内容</w:t>
      </w:r>
    </w:p>
    <w:p>
      <w:pPr>
        <w:keepNext w:val="0"/>
        <w:keepLines w:val="0"/>
        <w:pageBreakBefore w:val="0"/>
        <w:widowControl w:val="0"/>
        <w:numPr>
          <w:ilvl w:val="1"/>
          <w:numId w:val="4"/>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乙方为甲方提供网络公开信息的定向采集与数据分析服务。</w:t>
      </w:r>
    </w:p>
    <w:p>
      <w:pPr>
        <w:keepNext w:val="0"/>
        <w:keepLines w:val="0"/>
        <w:pageBreakBefore w:val="0"/>
        <w:widowControl w:val="0"/>
        <w:numPr>
          <w:ilvl w:val="1"/>
          <w:numId w:val="4"/>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甲方选定乙方提供的服务内容为：</w:t>
      </w:r>
    </w:p>
    <w:tbl>
      <w:tblPr>
        <w:tblStyle w:val="1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3133"/>
        <w:gridCol w:w="1088"/>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6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产品</w:t>
            </w:r>
          </w:p>
        </w:tc>
        <w:tc>
          <w:tcPr>
            <w:tcW w:w="31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服务明细</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服务项</w:t>
            </w:r>
          </w:p>
        </w:tc>
        <w:tc>
          <w:tcPr>
            <w:tcW w:w="20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jc w:val="center"/>
        </w:trPr>
        <w:tc>
          <w:tcPr>
            <w:tcW w:w="16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w:t>
            </w:r>
          </w:p>
        </w:tc>
        <w:tc>
          <w:tcPr>
            <w:tcW w:w="313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提供在线网络舆情服务系统：</w:t>
            </w:r>
          </w:p>
          <w:p>
            <w:pPr>
              <w:numPr>
                <w:ilvl w:val="0"/>
                <w:numId w:val="5"/>
              </w:numPr>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系统账号数：电脑端账号数</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个；手机端账号数</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个；</w:t>
            </w:r>
          </w:p>
          <w:p>
            <w:pP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2、关键字方案：</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个，关键词字总数不超过</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个汉字；</w:t>
            </w:r>
          </w:p>
          <w:p>
            <w:pP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3、舆情预警：</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套；</w:t>
            </w:r>
          </w:p>
          <w:p>
            <w:pP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4、简报制作：</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套；</w:t>
            </w:r>
          </w:p>
          <w:p>
            <w:pP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5、热度指数：</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套；</w:t>
            </w:r>
          </w:p>
          <w:p>
            <w:pP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6</w:t>
            </w:r>
            <w:r>
              <w:rPr>
                <w:rFonts w:hint="eastAsia" w:asciiTheme="minorEastAsia" w:hAnsiTheme="minorEastAsia" w:eastAsiaTheme="minorEastAsia" w:cstheme="minorEastAsia"/>
                <w:kern w:val="0"/>
                <w:sz w:val="24"/>
              </w:rPr>
              <w:t>、其他服务：</w:t>
            </w:r>
            <w:r>
              <w:rPr>
                <w:rFonts w:hint="eastAsia" w:asciiTheme="minorEastAsia" w:hAnsiTheme="minorEastAsia" w:eastAsiaTheme="minorEastAsia" w:cstheme="minorEastAsia"/>
                <w:kern w:val="0"/>
                <w:sz w:val="24"/>
                <w:u w:val="single"/>
                <w:lang w:val="en-US" w:eastAsia="zh-CN"/>
              </w:rPr>
              <w:t xml:space="preserve">   </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平台</w:t>
            </w:r>
          </w:p>
          <w:p>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监测</w:t>
            </w:r>
          </w:p>
        </w:tc>
        <w:tc>
          <w:tcPr>
            <w:tcW w:w="20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合同生效日起</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年</w:t>
            </w:r>
          </w:p>
        </w:tc>
      </w:tr>
    </w:tbl>
    <w:p>
      <w:pPr>
        <w:rPr>
          <w:rFonts w:hint="eastAsia" w:asciiTheme="minorEastAsia" w:hAnsiTheme="minorEastAsia" w:eastAsiaTheme="minorEastAsia" w:cstheme="minorEastAsia"/>
          <w:b/>
          <w:bCs/>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2"/>
          <w:sz w:val="24"/>
          <w:szCs w:val="24"/>
          <w:lang w:val="en-US" w:eastAsia="zh-CN" w:bidi="ar-SA"/>
        </w:rPr>
        <w:t xml:space="preserve">第二条 </w:t>
      </w:r>
      <w:r>
        <w:rPr>
          <w:rFonts w:hint="eastAsia" w:asciiTheme="minorEastAsia" w:hAnsiTheme="minorEastAsia" w:eastAsiaTheme="minorEastAsia" w:cstheme="minorEastAsia"/>
          <w:b/>
          <w:bCs/>
          <w:sz w:val="24"/>
        </w:rPr>
        <w:t>甲方的权利及义务</w:t>
      </w:r>
    </w:p>
    <w:p>
      <w:pPr>
        <w:pStyle w:val="22"/>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甲方承诺，甲方承诺是</w:t>
      </w:r>
      <w:r>
        <w:rPr>
          <w:rFonts w:hint="eastAsia" w:asciiTheme="minorEastAsia" w:hAnsiTheme="minorEastAsia" w:eastAsiaTheme="minorEastAsia" w:cstheme="minorEastAsia"/>
          <w:sz w:val="24"/>
          <w:lang w:val="en-US" w:eastAsia="zh-CN"/>
        </w:rPr>
        <w:t>本合同项目</w:t>
      </w:r>
      <w:r>
        <w:rPr>
          <w:rFonts w:hint="eastAsia" w:asciiTheme="minorEastAsia" w:hAnsiTheme="minorEastAsia" w:eastAsiaTheme="minorEastAsia" w:cstheme="minorEastAsia"/>
          <w:sz w:val="24"/>
        </w:rPr>
        <w:t>的合法服务者，甲方基于本合同相关条款所发生的业务内容均处于甲方合法经营范围之内，且不存在违反国家法律法规及监管政策的情形。</w:t>
      </w:r>
    </w:p>
    <w:p>
      <w:pPr>
        <w:pStyle w:val="22"/>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甲方承诺仅在中华人民共和国境内存储、使用在本合同项下从乙方获得的数据，不得向境外组织、机构、个人或向境内有外资背景的组织、机构或外籍自然人提供从乙方获得的数据。</w:t>
      </w:r>
    </w:p>
    <w:p>
      <w:pPr>
        <w:pStyle w:val="22"/>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应当严格保密并妥善使用从乙方获得的数据：（1）不得泄露、篡改、出售、转售或者向任何第三方提供任何基于本协议获得的信息；（2）不得对外提供含用户个人信息的分析结果；（3）不得进行任何形式的复制、下载、缓存、保存、转移、披露或泄露给任何第三方（包括关联方），本合同另有约定的除外；（4）不得进行加工、整合使之变形成为其他数据结构、形式后，复制、下载、缓存、保存、转移、披露或泄露给任何第三方（包括关联方），或将其还原为原始数据；</w:t>
      </w:r>
    </w:p>
    <w:p>
      <w:pPr>
        <w:pStyle w:val="22"/>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甲方不得利用乙方提供的基础设施、资源存储、触达媒介等资源，传播</w:t>
      </w:r>
      <w:r>
        <w:rPr>
          <w:rFonts w:hint="eastAsia" w:asciiTheme="minorEastAsia" w:hAnsiTheme="minorEastAsia" w:eastAsiaTheme="minorEastAsia" w:cstheme="minorEastAsia"/>
          <w:sz w:val="24"/>
          <w:lang w:val="en-US" w:eastAsia="zh-CN"/>
        </w:rPr>
        <w:t>违法</w:t>
      </w:r>
      <w:r>
        <w:rPr>
          <w:rFonts w:hint="eastAsia" w:asciiTheme="minorEastAsia" w:hAnsiTheme="minorEastAsia" w:eastAsiaTheme="minorEastAsia" w:cstheme="minorEastAsia"/>
          <w:sz w:val="24"/>
        </w:rPr>
        <w:t>信息</w:t>
      </w:r>
      <w:r>
        <w:rPr>
          <w:rFonts w:hint="eastAsia" w:asciiTheme="minorEastAsia" w:hAnsiTheme="minorEastAsia" w:eastAsiaTheme="minorEastAsia" w:cstheme="minorEastAsia"/>
          <w:sz w:val="24"/>
          <w:lang w:eastAsia="zh-CN"/>
        </w:rPr>
        <w:t>；</w:t>
      </w:r>
    </w:p>
    <w:p>
      <w:pPr>
        <w:pStyle w:val="22"/>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甲方在国家法律法规允许的范围内，在系统中自由设定需要密切关注的信息监测任务和信息检索关键字内容。甲方有权要求乙方协助甲方进行关键词等设置，以便甲方更好获取准确的事件态势分析数据。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2"/>
          <w:sz w:val="24"/>
          <w:szCs w:val="24"/>
          <w:lang w:val="en-US" w:eastAsia="zh-CN" w:bidi="ar-SA"/>
        </w:rPr>
        <w:t xml:space="preserve">第三条 </w:t>
      </w:r>
      <w:r>
        <w:rPr>
          <w:rFonts w:hint="eastAsia" w:asciiTheme="minorEastAsia" w:hAnsiTheme="minorEastAsia" w:eastAsiaTheme="minorEastAsia" w:cstheme="minorEastAsia"/>
          <w:b/>
          <w:bCs/>
          <w:sz w:val="24"/>
        </w:rPr>
        <w:t>乙方的权利及义务</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 乙方应按本合同</w:t>
      </w:r>
      <w:r>
        <w:rPr>
          <w:rFonts w:hint="eastAsia" w:asciiTheme="minorEastAsia" w:hAnsiTheme="minorEastAsia" w:eastAsiaTheme="minorEastAsia" w:cstheme="minorEastAsia"/>
          <w:sz w:val="24"/>
          <w:lang w:val="en-US" w:eastAsia="zh-CN"/>
        </w:rPr>
        <w:t>约定</w:t>
      </w:r>
      <w:r>
        <w:rPr>
          <w:rFonts w:hint="eastAsia" w:asciiTheme="minorEastAsia" w:hAnsiTheme="minorEastAsia" w:eastAsiaTheme="minorEastAsia" w:cstheme="minorEastAsia"/>
          <w:sz w:val="24"/>
        </w:rPr>
        <w:t>的服务内容，向甲方提供</w:t>
      </w:r>
      <w:r>
        <w:rPr>
          <w:rFonts w:hint="eastAsia" w:asciiTheme="minorEastAsia" w:hAnsiTheme="minorEastAsia" w:eastAsiaTheme="minorEastAsia" w:cstheme="minorEastAsia"/>
          <w:sz w:val="24"/>
          <w:lang w:val="en-US" w:eastAsia="zh-CN"/>
        </w:rPr>
        <w:t>舆情监测</w:t>
      </w:r>
      <w:r>
        <w:rPr>
          <w:rFonts w:hint="eastAsia" w:asciiTheme="minorEastAsia" w:hAnsiTheme="minorEastAsia" w:eastAsiaTheme="minorEastAsia" w:cstheme="minorEastAsia"/>
          <w:sz w:val="24"/>
        </w:rPr>
        <w:t>服务，并负责平台的维护和升级。</w:t>
      </w:r>
      <w:r>
        <w:rPr>
          <w:rFonts w:hint="eastAsia" w:ascii="宋体" w:hAnsi="宋体" w:cs="宋体"/>
          <w:sz w:val="24"/>
          <w:highlight w:val="none"/>
          <w:lang w:val="en-US" w:eastAsia="zh-CN"/>
        </w:rPr>
        <w:t>舆情监测系统能够对甲方提供的关键字词进行多渠道多方位的监测，</w:t>
      </w:r>
      <w:r>
        <w:rPr>
          <w:rFonts w:hint="eastAsia" w:ascii="宋体" w:hAnsi="宋体" w:eastAsia="宋体" w:cs="宋体"/>
          <w:i w:val="0"/>
          <w:iCs w:val="0"/>
          <w:color w:val="000000"/>
          <w:kern w:val="0"/>
          <w:sz w:val="24"/>
          <w:szCs w:val="24"/>
          <w:u w:val="none"/>
          <w:lang w:val="en-US" w:eastAsia="zh-CN" w:bidi="ar"/>
        </w:rPr>
        <w:t>系统监测范围可覆盖网站、微博、微信、论坛、贴吧、App、自媒体、报刊数据、短视频平台等全网全媒体</w:t>
      </w:r>
      <w:r>
        <w:rPr>
          <w:rFonts w:hint="eastAsia" w:ascii="宋体" w:hAnsi="宋体" w:cs="宋体"/>
          <w:sz w:val="24"/>
          <w:highlight w:val="none"/>
          <w:lang w:val="en-US" w:eastAsia="zh-CN"/>
        </w:rPr>
        <w:t>；能够在舆情出现后进行实时预警，将舆情相关情况在半小时内以微信、邮件、短信等形式发送到甲方相关人员的移动端，及时提醒甲方有关的舆情信息；网络舆情监测系统要能支持多种关键字语法，包括“或”、“与”、“非”以及括号，可自由、准确设定监测信息的范围。另外，系统支持一段文字作为关键字进行信息查询和监测。同时在关键字词的范围设置上能够有层级间的区别监测。网络舆情监测系统能够根据对敏感信息来源、转载量、转载地址、地域分布、信息发布者等相关信息元素的跟踪，进行倾向性与趁势分析。网络舆情监测系统能够根据文本的情感词汇或者内容的语气等信息，对文本进行情感分析和评价，预判相关的网络舆情信息的层次，准确的判定网络内容的敏感程度。</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 乙方应加强持续研发工作，通过对系统的优化升级改善用户体验。</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 合同期内，乙方需指定专门客服人员，随时为甲方解决咨询、指导、投诉等售后服务内容，并及时安排技术人员，为甲方提供后台支持与维护。</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3.4 除了受不可抗力影响或因其他不能归责于乙方的原因而导致的服务中断及暂停，乙方承诺在本协议有效期内其技术服务不发生重大事故且乙方将维护其正常运行。如遇系统更新、设备升级、网络故障等突发情况，乙方需及时通知甲方，并为甲方提供必要的指导和咨询服务。</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3.5 乙方仅在国家相关法律法规及政策所许可的范围内与甲方进行合作，并且双方承诺将严格遵守工业和信息化部制定的规范性文件。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2"/>
          <w:sz w:val="24"/>
          <w:szCs w:val="24"/>
          <w:lang w:val="en-US" w:eastAsia="zh-CN" w:bidi="ar-SA"/>
        </w:rPr>
        <w:t xml:space="preserve">第四条 </w:t>
      </w:r>
      <w:r>
        <w:rPr>
          <w:rFonts w:hint="eastAsia" w:asciiTheme="minorEastAsia" w:hAnsiTheme="minorEastAsia" w:eastAsiaTheme="minorEastAsia" w:cstheme="minorEastAsia"/>
          <w:b/>
          <w:bCs/>
          <w:sz w:val="24"/>
        </w:rPr>
        <w:t>费用及结算</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4.1乙方为甲方提供的舆情</w:t>
      </w:r>
      <w:r>
        <w:rPr>
          <w:rFonts w:hint="eastAsia" w:asciiTheme="minorEastAsia" w:hAnsiTheme="minorEastAsia" w:eastAsiaTheme="minorEastAsia" w:cstheme="minorEastAsia"/>
          <w:sz w:val="24"/>
          <w:lang w:val="en-US" w:eastAsia="zh-CN"/>
        </w:rPr>
        <w:t>监测系统</w:t>
      </w:r>
      <w:r>
        <w:rPr>
          <w:rFonts w:hint="eastAsia" w:asciiTheme="minorEastAsia" w:hAnsiTheme="minorEastAsia" w:eastAsiaTheme="minorEastAsia" w:cstheme="minorEastAsia"/>
          <w:sz w:val="24"/>
        </w:rPr>
        <w:t>服务合同总金额为人民币</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元），税率为6%，不含税总金额为人民币</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元）。</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 以上合同总金额包含乙方向甲方开具发票的有关税费。</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4.3 付款方式</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4.3.1在本合同签订后</w:t>
      </w:r>
      <w:r>
        <w:rPr>
          <w:rFonts w:hint="eastAsia" w:asciiTheme="minorEastAsia" w:hAnsiTheme="minorEastAsia" w:eastAsiaTheme="minorEastAsia" w:cstheme="minorEastAsia"/>
          <w:sz w:val="24"/>
          <w:lang w:val="en-US" w:eastAsia="zh-CN"/>
        </w:rPr>
        <w:t>30</w:t>
      </w:r>
      <w:r>
        <w:rPr>
          <w:rFonts w:hint="eastAsia" w:asciiTheme="minorEastAsia" w:hAnsiTheme="minorEastAsia" w:eastAsiaTheme="minorEastAsia" w:cstheme="minorEastAsia"/>
          <w:sz w:val="24"/>
        </w:rPr>
        <w:t>个工作日内，甲方向乙方指定账户支付人民币</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 xml:space="preserve">元）, </w:t>
      </w:r>
      <w:r>
        <w:rPr>
          <w:rFonts w:hint="eastAsia" w:asciiTheme="minorEastAsia" w:hAnsiTheme="minorEastAsia" w:eastAsiaTheme="minorEastAsia" w:cstheme="minorEastAsia"/>
          <w:sz w:val="24"/>
          <w:lang w:val="en-US" w:eastAsia="zh-CN"/>
        </w:rPr>
        <w:t>剩余1万元在合同终止后30</w:t>
      </w:r>
      <w:r>
        <w:rPr>
          <w:rFonts w:hint="eastAsia" w:asciiTheme="minorEastAsia" w:hAnsiTheme="minorEastAsia" w:eastAsiaTheme="minorEastAsia" w:cstheme="minorEastAsia"/>
          <w:sz w:val="24"/>
        </w:rPr>
        <w:t>个工作日内</w:t>
      </w:r>
      <w:r>
        <w:rPr>
          <w:rFonts w:hint="eastAsia" w:asciiTheme="minorEastAsia" w:hAnsiTheme="minorEastAsia" w:eastAsiaTheme="minorEastAsia" w:cstheme="minorEastAsia"/>
          <w:sz w:val="24"/>
          <w:lang w:val="en-US" w:eastAsia="zh-CN"/>
        </w:rPr>
        <w:t>一次性支付，</w:t>
      </w:r>
      <w:r>
        <w:rPr>
          <w:rFonts w:hint="eastAsia" w:asciiTheme="minorEastAsia" w:hAnsiTheme="minorEastAsia" w:eastAsiaTheme="minorEastAsia" w:cstheme="minorEastAsia"/>
          <w:sz w:val="24"/>
        </w:rPr>
        <w:t>乙方向甲方提供等额的增值税发票。</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4.3.2乙方的汇款信息如下： </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【公司名称：</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【账    号：</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4.3.3甲方的开票信息（甲方如需增值税专用发票，需提供如下所有信息）：</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【纳税人识别号：</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【开户行：</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【银行账号：</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2"/>
          <w:sz w:val="24"/>
          <w:szCs w:val="24"/>
          <w:lang w:val="en-US" w:eastAsia="zh-CN" w:bidi="ar-SA"/>
        </w:rPr>
        <w:t xml:space="preserve">第五条 </w:t>
      </w:r>
      <w:r>
        <w:rPr>
          <w:rFonts w:hint="eastAsia" w:asciiTheme="minorEastAsia" w:hAnsiTheme="minorEastAsia" w:eastAsiaTheme="minorEastAsia" w:cstheme="minorEastAsia"/>
          <w:b/>
          <w:bCs/>
          <w:sz w:val="24"/>
        </w:rPr>
        <w:t>保密义务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任何一方未公开的任何技术信息和经营信息，包括但不限于非专利技术、设计、程序、技术数据、制作方法、资讯来源、用户资料，均构成该方的商业秘密。任何一方在任何时候均不得利用或向第三方披露另一方的商业秘密，除非本协议另有规定，或该等利用或披露系履行协议所必须或经另一方同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双方对在本协议下知悉的另一方的任何商业秘密均负有保密义务，非经另一方书面许可不得向任何第三方泄露。任何一方违反本条规定的，应全额赔偿另一方因此遭受的全部直接和间接损失。本协议终止后，双方仍然负有本条下的保密义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第六条 廉洁条款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.1 甲、乙双方应当自觉遵守国家、地方法律法规以及本合同的约定，在合同的订立、履行过程中廉洁自律。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.2 甲方及其工作人员均不得以任何形式向乙方索要和收受回扣等好处费。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.3 甲方工作人员应当保持与乙方的正常业务交往，不得接受乙方的礼金、有价证券和贵重物品，不得在乙方报销任何应由其个人承担的费用。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.4 甲方工作人员不得参加可能对公正开展业务有影响的宴请和娱乐活动。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.5 甲方工作人员不得要求或者接受乙方为其住房装修、婚丧嫁娶、家属和子女的工作安排以及出国等提供方便。</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.6 乙方不得接受甲方工作人员介绍的家属或者亲友从事与合同相关的业务。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.7 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.8 乙方如发现甲方工作人员有违反上述廉洁条款者，应向甲方举报。甲方不得找任何借口对乙方进行报复。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.9 甲方发现乙方有违反本合同或者采用不正当的手段行贿甲方工作人员等不正当竞争行为的，甲方有权解除本合同并追究乙方相关的法律责任。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2"/>
          <w:sz w:val="24"/>
          <w:szCs w:val="24"/>
          <w:lang w:val="en-US" w:eastAsia="zh-CN" w:bidi="ar-SA"/>
        </w:rPr>
        <w:t xml:space="preserve">第七条 </w:t>
      </w:r>
      <w:r>
        <w:rPr>
          <w:rFonts w:hint="eastAsia" w:asciiTheme="minorEastAsia" w:hAnsiTheme="minorEastAsia" w:eastAsiaTheme="minorEastAsia" w:cstheme="minorEastAsia"/>
          <w:b/>
          <w:bCs/>
          <w:sz w:val="24"/>
        </w:rPr>
        <w:t>协议的修改、补充、变更与解除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本协议及其附件的修改、补充、变更必须经甲、乙方协商一致，并经双方签署书面协议之后方能生效。在协议有效期内由于本协议约定的不可抗力等因素，造成合作双方严重损失，经合作双方特别商议，可以提前终止协议或解除协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2"/>
          <w:sz w:val="24"/>
          <w:szCs w:val="24"/>
          <w:lang w:val="en-US" w:eastAsia="zh-CN" w:bidi="ar-SA"/>
        </w:rPr>
        <w:t xml:space="preserve">第八条 </w:t>
      </w:r>
      <w:r>
        <w:rPr>
          <w:rFonts w:hint="eastAsia" w:asciiTheme="minorEastAsia" w:hAnsiTheme="minorEastAsia" w:eastAsiaTheme="minorEastAsia" w:cstheme="minorEastAsia"/>
          <w:b/>
          <w:bCs/>
          <w:sz w:val="24"/>
        </w:rPr>
        <w:t>违约责任</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.1 由于一方的过错，造成本协议不能履行或不能完全履行时，由过错的一方承担责任；如属双方的过失，根据实际情况，由双方分别承担各自应负的责任。</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 xml:space="preserve"> 若甲方逾期付款，应每日按欠付金额的0.1%向</w:t>
      </w:r>
      <w:r>
        <w:rPr>
          <w:rFonts w:hint="eastAsia" w:asciiTheme="minorEastAsia" w:hAnsiTheme="minorEastAsia" w:eastAsiaTheme="minorEastAsia" w:cstheme="minorEastAsia"/>
          <w:color w:val="auto"/>
          <w:sz w:val="24"/>
        </w:rPr>
        <w:t>乙方支付违约金，逾期付款超过10日，乙方有权终止协议且终止甲方的账号使用权限。</w:t>
      </w:r>
    </w:p>
    <w:p>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 xml:space="preserve"> 若乙方逾期将可正常使用的系统地址、用户名和密码交付甲方或因乙方原因造成服务中断及暂停的，每逾期/中断/暂停一日，应向甲方支付项目服务费总额的0.1%向甲方支付违约金。逾期交付或中断、暂停服务超过10日，甲方有权终止协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2"/>
          <w:sz w:val="24"/>
          <w:szCs w:val="24"/>
          <w:lang w:val="en-US" w:eastAsia="zh-CN" w:bidi="ar-SA"/>
        </w:rPr>
        <w:t xml:space="preserve">第九条 </w:t>
      </w:r>
      <w:r>
        <w:rPr>
          <w:rFonts w:hint="eastAsia" w:asciiTheme="minorEastAsia" w:hAnsiTheme="minorEastAsia" w:eastAsiaTheme="minorEastAsia" w:cstheme="minorEastAsia"/>
          <w:b/>
          <w:bCs/>
          <w:sz w:val="24"/>
        </w:rPr>
        <w:t>不可抗力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在合作期间，由于地震、台风、水灾、火灾、战争、黑客攻击、电信部门技术管制或其他不能预见并且对其发生和后果不能防止和避免的不可抗力事故，致使协议的履行直接被影响或者不能按约定的条件履行时，遇有上述不可抗力事故的一方，应立即将事故情况通知对方，并应在十五天内提供事故的详细情况及协议不能履行、或者部分不能履行、或者需要延期履行的理由的有效证明文件。此项证明文件应由事故发生地区的公证机构出具。按照事故对协议的履行的影响程度，由双方协商决定是否解除协议、或者部分免除履行协议的责任、或者延期履行协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2"/>
          <w:sz w:val="24"/>
          <w:szCs w:val="24"/>
          <w:lang w:val="en-US" w:eastAsia="zh-CN" w:bidi="ar-SA"/>
        </w:rPr>
        <w:t xml:space="preserve">第十条 </w:t>
      </w:r>
      <w:r>
        <w:rPr>
          <w:rFonts w:hint="eastAsia" w:asciiTheme="minorEastAsia" w:hAnsiTheme="minorEastAsia" w:eastAsiaTheme="minorEastAsia" w:cstheme="minorEastAsia"/>
          <w:b/>
          <w:bCs/>
          <w:sz w:val="24"/>
        </w:rPr>
        <w:t>协议期限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本协议有效期从</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日至</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本协议期满，如双方不再就本项目继续合作，账号自动停止使用。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2"/>
          <w:sz w:val="24"/>
          <w:szCs w:val="24"/>
          <w:lang w:val="en-US" w:eastAsia="zh-CN" w:bidi="ar-SA"/>
        </w:rPr>
        <w:t xml:space="preserve">第十一条 </w:t>
      </w:r>
      <w:r>
        <w:rPr>
          <w:rFonts w:hint="eastAsia" w:asciiTheme="minorEastAsia" w:hAnsiTheme="minorEastAsia" w:eastAsiaTheme="minorEastAsia" w:cstheme="minorEastAsia"/>
          <w:b/>
          <w:bCs/>
          <w:sz w:val="24"/>
        </w:rPr>
        <w:t>争议的解决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本协议的订立、效力、解释、履行和争议的解决均受中华人民共和国法律的保护和管辖。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凡因执行本协议所发生的或与本协议有关的一切争议，双方应首先通过友好协商解决，如果协商不能解决，任何一方均有权向</w:t>
      </w:r>
      <w:r>
        <w:rPr>
          <w:rFonts w:hint="eastAsia" w:asciiTheme="minorEastAsia" w:hAnsiTheme="minorEastAsia" w:eastAsiaTheme="minorEastAsia" w:cstheme="minorEastAsia"/>
          <w:sz w:val="24"/>
          <w:lang w:val="en-US" w:eastAsia="zh-CN"/>
        </w:rPr>
        <w:t>甲</w:t>
      </w:r>
      <w:r>
        <w:rPr>
          <w:rFonts w:hint="eastAsia" w:asciiTheme="minorEastAsia" w:hAnsiTheme="minorEastAsia" w:eastAsiaTheme="minorEastAsia" w:cstheme="minorEastAsia"/>
          <w:sz w:val="24"/>
        </w:rPr>
        <w:t>方所在地有管辖权的人民法院提起诉讼。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2"/>
          <w:sz w:val="24"/>
          <w:szCs w:val="24"/>
          <w:lang w:val="en-US" w:eastAsia="zh-CN" w:bidi="ar-SA"/>
        </w:rPr>
        <w:t xml:space="preserve">第十二条 </w:t>
      </w:r>
      <w:r>
        <w:rPr>
          <w:rFonts w:hint="eastAsia" w:asciiTheme="minorEastAsia" w:hAnsiTheme="minorEastAsia" w:eastAsiaTheme="minorEastAsia" w:cstheme="minorEastAsia"/>
          <w:b/>
          <w:bCs/>
          <w:sz w:val="24"/>
        </w:rPr>
        <w:t>协议生效及其它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本协议由双方签字并加盖公章或合同专用章之日起生效。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按照本协议规定的各项原则所订立的工程协议、技术方案、合作协议、补充协议等均为本协议的附属文件，构成本协议不可分割的一部分。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本协议、补充协议及其附属文件，均须经双方书面签字并盖章后始得生效。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本协议正本一式肆份，甲、乙方各持贰份，均具有同等法律效力。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华文仿宋" w:eastAsia="仿宋_GB2312" w:cs="华文仿宋"/>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华文仿宋" w:eastAsia="仿宋_GB2312" w:cs="华文仿宋"/>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pPr>
    </w:p>
    <w:p>
      <w:pPr>
        <w:keepNext w:val="0"/>
        <w:keepLines w:val="0"/>
        <w:pageBreakBefore w:val="0"/>
        <w:widowControl w:val="0"/>
        <w:kinsoku/>
        <w:wordWrap/>
        <w:overflowPunct/>
        <w:topLinePunct w:val="0"/>
        <w:autoSpaceDE/>
        <w:autoSpaceDN/>
        <w:bidi w:val="0"/>
        <w:adjustRightInd/>
        <w:snapToGrid/>
        <w:spacing w:line="440" w:lineRule="exact"/>
        <w:textAlignment w:val="auto"/>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BmRJDXAQAAswMAAA4AAAAAAAAAAQAgAAAA&#10;HgEAAGRycy9lMm9Eb2MueG1sUEsFBgAAAAAGAAYAWQEAAGc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4" w:space="1"/>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53ABF"/>
    <w:multiLevelType w:val="singleLevel"/>
    <w:tmpl w:val="91553ABF"/>
    <w:lvl w:ilvl="0" w:tentative="0">
      <w:start w:val="1"/>
      <w:numFmt w:val="chineseCounting"/>
      <w:suff w:val="nothing"/>
      <w:lvlText w:val="（%1）"/>
      <w:lvlJc w:val="left"/>
      <w:rPr>
        <w:rFonts w:hint="eastAsia"/>
      </w:rPr>
    </w:lvl>
  </w:abstractNum>
  <w:abstractNum w:abstractNumId="1">
    <w:nsid w:val="F710AA27"/>
    <w:multiLevelType w:val="multilevel"/>
    <w:tmpl w:val="F710AA27"/>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2.%3.%4.%5.%6.%7.%8.%9"/>
      <w:lvlJc w:val="left"/>
      <w:pPr>
        <w:ind w:left="0" w:firstLine="0"/>
      </w:pPr>
    </w:lvl>
  </w:abstractNum>
  <w:abstractNum w:abstractNumId="2">
    <w:nsid w:val="138A41D7"/>
    <w:multiLevelType w:val="multilevel"/>
    <w:tmpl w:val="138A41D7"/>
    <w:lvl w:ilvl="0" w:tentative="0">
      <w:start w:val="1"/>
      <w:numFmt w:val="decimal"/>
      <w:lvlText w:val="2.%1"/>
      <w:lvlJc w:val="left"/>
      <w:pPr>
        <w:ind w:left="420" w:hanging="420"/>
      </w:pPr>
      <w:rPr>
        <w:b w:val="0"/>
      </w:rPr>
    </w:lvl>
    <w:lvl w:ilvl="1" w:tentative="0">
      <w:start w:val="1"/>
      <w:numFmt w:val="decimal"/>
      <w:lvlText w:val="（%2）"/>
      <w:lvlJc w:val="left"/>
      <w:pPr>
        <w:ind w:left="1140" w:hanging="7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C78F57B"/>
    <w:multiLevelType w:val="singleLevel"/>
    <w:tmpl w:val="4C78F57B"/>
    <w:lvl w:ilvl="0" w:tentative="0">
      <w:start w:val="4"/>
      <w:numFmt w:val="chineseCounting"/>
      <w:suff w:val="space"/>
      <w:lvlText w:val="第%1部分"/>
      <w:lvlJc w:val="left"/>
      <w:rPr>
        <w:rFonts w:hint="eastAsia"/>
      </w:rPr>
    </w:lvl>
  </w:abstractNum>
  <w:abstractNum w:abstractNumId="5">
    <w:nsid w:val="5E30C914"/>
    <w:multiLevelType w:val="singleLevel"/>
    <w:tmpl w:val="5E30C914"/>
    <w:lvl w:ilvl="0" w:tentative="0">
      <w:start w:val="1"/>
      <w:numFmt w:val="decimal"/>
      <w:suff w:val="nothing"/>
      <w:lvlText w:val="%1、"/>
      <w:lvlJc w:val="left"/>
      <w:pPr>
        <w:ind w:left="0" w:firstLine="0"/>
      </w:p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jMjI1NmZmZTFjNzFkNjMwNmZkNDc0MzhjMzBkMGQifQ=="/>
  </w:docVars>
  <w:rsids>
    <w:rsidRoot w:val="1A455D2C"/>
    <w:rsid w:val="001A2968"/>
    <w:rsid w:val="00225378"/>
    <w:rsid w:val="00417EF4"/>
    <w:rsid w:val="009579AC"/>
    <w:rsid w:val="00A641E8"/>
    <w:rsid w:val="00B701B7"/>
    <w:rsid w:val="00C823C4"/>
    <w:rsid w:val="00EA3F9D"/>
    <w:rsid w:val="00F91E58"/>
    <w:rsid w:val="00FB1B0B"/>
    <w:rsid w:val="00FB6C0F"/>
    <w:rsid w:val="010557E2"/>
    <w:rsid w:val="01172A03"/>
    <w:rsid w:val="01253372"/>
    <w:rsid w:val="01392AFC"/>
    <w:rsid w:val="015E0632"/>
    <w:rsid w:val="018C047A"/>
    <w:rsid w:val="018D7895"/>
    <w:rsid w:val="01C26E13"/>
    <w:rsid w:val="01CA3F1A"/>
    <w:rsid w:val="01DB4184"/>
    <w:rsid w:val="02203C20"/>
    <w:rsid w:val="02437481"/>
    <w:rsid w:val="024535A0"/>
    <w:rsid w:val="02533F0F"/>
    <w:rsid w:val="02B1130A"/>
    <w:rsid w:val="02BC7D06"/>
    <w:rsid w:val="02E352E7"/>
    <w:rsid w:val="03507AA1"/>
    <w:rsid w:val="0381685A"/>
    <w:rsid w:val="03AD2B6F"/>
    <w:rsid w:val="03D746CC"/>
    <w:rsid w:val="03E60362"/>
    <w:rsid w:val="04294F27"/>
    <w:rsid w:val="04642403"/>
    <w:rsid w:val="04835A7C"/>
    <w:rsid w:val="04A25368"/>
    <w:rsid w:val="04A95669"/>
    <w:rsid w:val="04AD5B99"/>
    <w:rsid w:val="04D423FA"/>
    <w:rsid w:val="04DE107D"/>
    <w:rsid w:val="05131330"/>
    <w:rsid w:val="05140D4C"/>
    <w:rsid w:val="05B20F4D"/>
    <w:rsid w:val="05B44CC5"/>
    <w:rsid w:val="05FC3975"/>
    <w:rsid w:val="06121460"/>
    <w:rsid w:val="06191786"/>
    <w:rsid w:val="061F7967"/>
    <w:rsid w:val="0636392C"/>
    <w:rsid w:val="063A7071"/>
    <w:rsid w:val="06466042"/>
    <w:rsid w:val="065070CC"/>
    <w:rsid w:val="0676605E"/>
    <w:rsid w:val="06C1141B"/>
    <w:rsid w:val="06CC603E"/>
    <w:rsid w:val="06FC0D31"/>
    <w:rsid w:val="06FC78FF"/>
    <w:rsid w:val="073700BD"/>
    <w:rsid w:val="07AB2AFA"/>
    <w:rsid w:val="08065580"/>
    <w:rsid w:val="081B102B"/>
    <w:rsid w:val="082500FC"/>
    <w:rsid w:val="08283748"/>
    <w:rsid w:val="08407850"/>
    <w:rsid w:val="084C38DA"/>
    <w:rsid w:val="087B7D1C"/>
    <w:rsid w:val="088D745B"/>
    <w:rsid w:val="089B0238"/>
    <w:rsid w:val="08A718A0"/>
    <w:rsid w:val="08DD4532"/>
    <w:rsid w:val="09212671"/>
    <w:rsid w:val="092B4563"/>
    <w:rsid w:val="09385C0D"/>
    <w:rsid w:val="097A6225"/>
    <w:rsid w:val="097C3D4B"/>
    <w:rsid w:val="098047A9"/>
    <w:rsid w:val="09D765FA"/>
    <w:rsid w:val="09D92F4C"/>
    <w:rsid w:val="09FE29B2"/>
    <w:rsid w:val="09FE73FF"/>
    <w:rsid w:val="0A0C3321"/>
    <w:rsid w:val="0A2543E3"/>
    <w:rsid w:val="0A2F22C5"/>
    <w:rsid w:val="0A491F0E"/>
    <w:rsid w:val="0A611896"/>
    <w:rsid w:val="0A8772D8"/>
    <w:rsid w:val="0A947E48"/>
    <w:rsid w:val="0ACE521C"/>
    <w:rsid w:val="0AE620BB"/>
    <w:rsid w:val="0AEF422F"/>
    <w:rsid w:val="0B316C05"/>
    <w:rsid w:val="0B440899"/>
    <w:rsid w:val="0B626F71"/>
    <w:rsid w:val="0B785C4C"/>
    <w:rsid w:val="0B976C89"/>
    <w:rsid w:val="0B9862F7"/>
    <w:rsid w:val="0BA457DB"/>
    <w:rsid w:val="0BD55995"/>
    <w:rsid w:val="0BD87233"/>
    <w:rsid w:val="0C0A1E86"/>
    <w:rsid w:val="0C326AFC"/>
    <w:rsid w:val="0C68516C"/>
    <w:rsid w:val="0C7F58EE"/>
    <w:rsid w:val="0C85560D"/>
    <w:rsid w:val="0CA02447"/>
    <w:rsid w:val="0CA95685"/>
    <w:rsid w:val="0CB952B6"/>
    <w:rsid w:val="0CBB2EE3"/>
    <w:rsid w:val="0CC31C91"/>
    <w:rsid w:val="0CC84901"/>
    <w:rsid w:val="0CDB0CDE"/>
    <w:rsid w:val="0D305579"/>
    <w:rsid w:val="0D88388F"/>
    <w:rsid w:val="0D9F625A"/>
    <w:rsid w:val="0DA25D4B"/>
    <w:rsid w:val="0DB35341"/>
    <w:rsid w:val="0DF07FE0"/>
    <w:rsid w:val="0E032BDF"/>
    <w:rsid w:val="0E112546"/>
    <w:rsid w:val="0E4E0472"/>
    <w:rsid w:val="0E875C90"/>
    <w:rsid w:val="0F854FCD"/>
    <w:rsid w:val="0F942C9F"/>
    <w:rsid w:val="0FD2206B"/>
    <w:rsid w:val="0FE66647"/>
    <w:rsid w:val="0FF4419B"/>
    <w:rsid w:val="0FF74205"/>
    <w:rsid w:val="10234F21"/>
    <w:rsid w:val="10262C63"/>
    <w:rsid w:val="1032010A"/>
    <w:rsid w:val="10392996"/>
    <w:rsid w:val="10417A9D"/>
    <w:rsid w:val="10721B6C"/>
    <w:rsid w:val="108616C4"/>
    <w:rsid w:val="109A0F5B"/>
    <w:rsid w:val="10A523E9"/>
    <w:rsid w:val="10A65B52"/>
    <w:rsid w:val="10DC54DD"/>
    <w:rsid w:val="10FC0417"/>
    <w:rsid w:val="11056BAD"/>
    <w:rsid w:val="110D797F"/>
    <w:rsid w:val="11196324"/>
    <w:rsid w:val="111B7ACC"/>
    <w:rsid w:val="11274EE5"/>
    <w:rsid w:val="11491D43"/>
    <w:rsid w:val="114B150F"/>
    <w:rsid w:val="11FF388A"/>
    <w:rsid w:val="122338FE"/>
    <w:rsid w:val="12863E8D"/>
    <w:rsid w:val="12972563"/>
    <w:rsid w:val="12A460C1"/>
    <w:rsid w:val="12FD60C7"/>
    <w:rsid w:val="132C67E2"/>
    <w:rsid w:val="136B7719"/>
    <w:rsid w:val="13D94AB3"/>
    <w:rsid w:val="13F7128E"/>
    <w:rsid w:val="140212F1"/>
    <w:rsid w:val="141A4025"/>
    <w:rsid w:val="142248CF"/>
    <w:rsid w:val="14263231"/>
    <w:rsid w:val="147F061A"/>
    <w:rsid w:val="149A24F6"/>
    <w:rsid w:val="14A26DD9"/>
    <w:rsid w:val="14A3531F"/>
    <w:rsid w:val="14B60A59"/>
    <w:rsid w:val="14EF3F6B"/>
    <w:rsid w:val="14F52C04"/>
    <w:rsid w:val="150A66AF"/>
    <w:rsid w:val="1528122B"/>
    <w:rsid w:val="15330829"/>
    <w:rsid w:val="1548367B"/>
    <w:rsid w:val="154A2F50"/>
    <w:rsid w:val="157C12D5"/>
    <w:rsid w:val="15C03212"/>
    <w:rsid w:val="160752E5"/>
    <w:rsid w:val="16467BBB"/>
    <w:rsid w:val="16577110"/>
    <w:rsid w:val="1701742E"/>
    <w:rsid w:val="17233577"/>
    <w:rsid w:val="173E3331"/>
    <w:rsid w:val="17662607"/>
    <w:rsid w:val="1775412A"/>
    <w:rsid w:val="177922F0"/>
    <w:rsid w:val="179E3A27"/>
    <w:rsid w:val="17C133B4"/>
    <w:rsid w:val="17C36FE9"/>
    <w:rsid w:val="18071A18"/>
    <w:rsid w:val="182C2DE0"/>
    <w:rsid w:val="18663CF3"/>
    <w:rsid w:val="1877345D"/>
    <w:rsid w:val="18BB267A"/>
    <w:rsid w:val="18D53478"/>
    <w:rsid w:val="18E67433"/>
    <w:rsid w:val="19017DC9"/>
    <w:rsid w:val="190C2859"/>
    <w:rsid w:val="1917583F"/>
    <w:rsid w:val="19300F6C"/>
    <w:rsid w:val="19490C01"/>
    <w:rsid w:val="194F1CD5"/>
    <w:rsid w:val="195508F2"/>
    <w:rsid w:val="19C71013"/>
    <w:rsid w:val="19D871A5"/>
    <w:rsid w:val="19F31E08"/>
    <w:rsid w:val="1A07072A"/>
    <w:rsid w:val="1A455D2C"/>
    <w:rsid w:val="1A494B95"/>
    <w:rsid w:val="1A935399"/>
    <w:rsid w:val="1A9A2283"/>
    <w:rsid w:val="1AA80E44"/>
    <w:rsid w:val="1ABA46D4"/>
    <w:rsid w:val="1AC35C7E"/>
    <w:rsid w:val="1B043BA1"/>
    <w:rsid w:val="1B087B35"/>
    <w:rsid w:val="1B090209"/>
    <w:rsid w:val="1B0F0EC3"/>
    <w:rsid w:val="1B245FF1"/>
    <w:rsid w:val="1B2F50C2"/>
    <w:rsid w:val="1B8B2D3D"/>
    <w:rsid w:val="1B9118D8"/>
    <w:rsid w:val="1BA564FE"/>
    <w:rsid w:val="1BAB226E"/>
    <w:rsid w:val="1BB95F4C"/>
    <w:rsid w:val="1C404676"/>
    <w:rsid w:val="1C4C599A"/>
    <w:rsid w:val="1C6B44E3"/>
    <w:rsid w:val="1C777B0F"/>
    <w:rsid w:val="1CAB69CA"/>
    <w:rsid w:val="1CAE35AE"/>
    <w:rsid w:val="1CD861D1"/>
    <w:rsid w:val="1D7768AC"/>
    <w:rsid w:val="1D7F7BBD"/>
    <w:rsid w:val="1D903E12"/>
    <w:rsid w:val="1D9E208B"/>
    <w:rsid w:val="1DAB1346"/>
    <w:rsid w:val="1DB14832"/>
    <w:rsid w:val="1DE16051"/>
    <w:rsid w:val="1DE353A7"/>
    <w:rsid w:val="1E1D5C20"/>
    <w:rsid w:val="1E4B60EC"/>
    <w:rsid w:val="1E5C7136"/>
    <w:rsid w:val="1E9A4F48"/>
    <w:rsid w:val="1EAC07D7"/>
    <w:rsid w:val="1EE02DE1"/>
    <w:rsid w:val="1EF9792C"/>
    <w:rsid w:val="1F012E44"/>
    <w:rsid w:val="1F2732D5"/>
    <w:rsid w:val="1F451D7B"/>
    <w:rsid w:val="1F972A6A"/>
    <w:rsid w:val="1FBE6A14"/>
    <w:rsid w:val="1FD47844"/>
    <w:rsid w:val="1FD71884"/>
    <w:rsid w:val="1FEB4C3E"/>
    <w:rsid w:val="20001E79"/>
    <w:rsid w:val="20157477"/>
    <w:rsid w:val="20300CA6"/>
    <w:rsid w:val="203171E6"/>
    <w:rsid w:val="2076109D"/>
    <w:rsid w:val="20C55B80"/>
    <w:rsid w:val="20C91B14"/>
    <w:rsid w:val="20D103AA"/>
    <w:rsid w:val="211115BF"/>
    <w:rsid w:val="21471490"/>
    <w:rsid w:val="215D400B"/>
    <w:rsid w:val="217B12AB"/>
    <w:rsid w:val="21867A05"/>
    <w:rsid w:val="21BB50A7"/>
    <w:rsid w:val="21D45042"/>
    <w:rsid w:val="22053FBF"/>
    <w:rsid w:val="22286D9D"/>
    <w:rsid w:val="226E0F21"/>
    <w:rsid w:val="227301D5"/>
    <w:rsid w:val="22E42C35"/>
    <w:rsid w:val="22F43BF4"/>
    <w:rsid w:val="22FD648E"/>
    <w:rsid w:val="23073B84"/>
    <w:rsid w:val="23BA5744"/>
    <w:rsid w:val="23CE18F7"/>
    <w:rsid w:val="23F325D8"/>
    <w:rsid w:val="244B0A92"/>
    <w:rsid w:val="2451679D"/>
    <w:rsid w:val="249F5D13"/>
    <w:rsid w:val="24A0493A"/>
    <w:rsid w:val="24A361D8"/>
    <w:rsid w:val="24B32A78"/>
    <w:rsid w:val="24C37889"/>
    <w:rsid w:val="24E6706C"/>
    <w:rsid w:val="24F066FE"/>
    <w:rsid w:val="254774AC"/>
    <w:rsid w:val="25734FA1"/>
    <w:rsid w:val="2579781A"/>
    <w:rsid w:val="25821D55"/>
    <w:rsid w:val="2584425C"/>
    <w:rsid w:val="25983863"/>
    <w:rsid w:val="25E40BED"/>
    <w:rsid w:val="26025181"/>
    <w:rsid w:val="261C4494"/>
    <w:rsid w:val="26361E29"/>
    <w:rsid w:val="2673033E"/>
    <w:rsid w:val="26893623"/>
    <w:rsid w:val="26DF7A5E"/>
    <w:rsid w:val="270F3FF9"/>
    <w:rsid w:val="27282656"/>
    <w:rsid w:val="278C3712"/>
    <w:rsid w:val="27AB3D22"/>
    <w:rsid w:val="27BA17EA"/>
    <w:rsid w:val="27C272BD"/>
    <w:rsid w:val="27CE6CE3"/>
    <w:rsid w:val="283C719D"/>
    <w:rsid w:val="28772223"/>
    <w:rsid w:val="28913C37"/>
    <w:rsid w:val="289229E4"/>
    <w:rsid w:val="2899001E"/>
    <w:rsid w:val="28BD5CB7"/>
    <w:rsid w:val="294731C8"/>
    <w:rsid w:val="295201CD"/>
    <w:rsid w:val="29882D84"/>
    <w:rsid w:val="29936EB5"/>
    <w:rsid w:val="299627B0"/>
    <w:rsid w:val="299E3CCA"/>
    <w:rsid w:val="2A027E45"/>
    <w:rsid w:val="2A247DBB"/>
    <w:rsid w:val="2A566386"/>
    <w:rsid w:val="2A8F701A"/>
    <w:rsid w:val="2A9211C9"/>
    <w:rsid w:val="2A930A9D"/>
    <w:rsid w:val="2AAB0CA9"/>
    <w:rsid w:val="2ACB7B38"/>
    <w:rsid w:val="2B1E22C0"/>
    <w:rsid w:val="2B523C0C"/>
    <w:rsid w:val="2B7D3C27"/>
    <w:rsid w:val="2B801021"/>
    <w:rsid w:val="2BAF7B59"/>
    <w:rsid w:val="2BD17ACF"/>
    <w:rsid w:val="2BFD2672"/>
    <w:rsid w:val="2C09011C"/>
    <w:rsid w:val="2C0954BB"/>
    <w:rsid w:val="2C107FEF"/>
    <w:rsid w:val="2C3A1B18"/>
    <w:rsid w:val="2C46226B"/>
    <w:rsid w:val="2C934D84"/>
    <w:rsid w:val="2CBA67B5"/>
    <w:rsid w:val="2CDA29B3"/>
    <w:rsid w:val="2CFA4E04"/>
    <w:rsid w:val="2D267C5C"/>
    <w:rsid w:val="2D595FCE"/>
    <w:rsid w:val="2D600B26"/>
    <w:rsid w:val="2D6F75A0"/>
    <w:rsid w:val="2DB41FF5"/>
    <w:rsid w:val="2DB70A38"/>
    <w:rsid w:val="2DC44491"/>
    <w:rsid w:val="2DD719A5"/>
    <w:rsid w:val="2DF33A6B"/>
    <w:rsid w:val="2E053A60"/>
    <w:rsid w:val="2E066582"/>
    <w:rsid w:val="2E232EED"/>
    <w:rsid w:val="2E913546"/>
    <w:rsid w:val="2EC7254D"/>
    <w:rsid w:val="2F087CAC"/>
    <w:rsid w:val="2F2A7C22"/>
    <w:rsid w:val="2F3152A6"/>
    <w:rsid w:val="2F5D64A2"/>
    <w:rsid w:val="2F740E9D"/>
    <w:rsid w:val="2F905058"/>
    <w:rsid w:val="2FAA48BF"/>
    <w:rsid w:val="2FC95CB7"/>
    <w:rsid w:val="2FD7047A"/>
    <w:rsid w:val="2FD915F5"/>
    <w:rsid w:val="2FE204FD"/>
    <w:rsid w:val="302E54F0"/>
    <w:rsid w:val="30375B21"/>
    <w:rsid w:val="304B42F4"/>
    <w:rsid w:val="304C60F4"/>
    <w:rsid w:val="307865DE"/>
    <w:rsid w:val="30894E1C"/>
    <w:rsid w:val="30895A82"/>
    <w:rsid w:val="30E23621"/>
    <w:rsid w:val="311E2E94"/>
    <w:rsid w:val="31224929"/>
    <w:rsid w:val="314F1BC2"/>
    <w:rsid w:val="31A67308"/>
    <w:rsid w:val="31C53C32"/>
    <w:rsid w:val="31E32745"/>
    <w:rsid w:val="31F8620D"/>
    <w:rsid w:val="32193F7E"/>
    <w:rsid w:val="32670A19"/>
    <w:rsid w:val="32936105"/>
    <w:rsid w:val="32990C1B"/>
    <w:rsid w:val="32C52BDF"/>
    <w:rsid w:val="32E7076E"/>
    <w:rsid w:val="32FB0282"/>
    <w:rsid w:val="333D3C9C"/>
    <w:rsid w:val="334233B8"/>
    <w:rsid w:val="336B7EA5"/>
    <w:rsid w:val="33746DD8"/>
    <w:rsid w:val="338E2DF8"/>
    <w:rsid w:val="33BF41C1"/>
    <w:rsid w:val="33CA5530"/>
    <w:rsid w:val="33D57E6D"/>
    <w:rsid w:val="33D80998"/>
    <w:rsid w:val="33DF0045"/>
    <w:rsid w:val="340260B7"/>
    <w:rsid w:val="340551E6"/>
    <w:rsid w:val="34213C80"/>
    <w:rsid w:val="3482405C"/>
    <w:rsid w:val="348953EB"/>
    <w:rsid w:val="34A66E68"/>
    <w:rsid w:val="34A93B76"/>
    <w:rsid w:val="34C226AB"/>
    <w:rsid w:val="34C56347"/>
    <w:rsid w:val="34C9767B"/>
    <w:rsid w:val="34F77B28"/>
    <w:rsid w:val="350827AC"/>
    <w:rsid w:val="351F5D4F"/>
    <w:rsid w:val="35312B3B"/>
    <w:rsid w:val="35505F08"/>
    <w:rsid w:val="355C762B"/>
    <w:rsid w:val="35C60543"/>
    <w:rsid w:val="35EA71FC"/>
    <w:rsid w:val="360F2CA5"/>
    <w:rsid w:val="36195F56"/>
    <w:rsid w:val="363346DB"/>
    <w:rsid w:val="363B2715"/>
    <w:rsid w:val="363E11B8"/>
    <w:rsid w:val="36472A7C"/>
    <w:rsid w:val="365141FE"/>
    <w:rsid w:val="369167D9"/>
    <w:rsid w:val="36A007CA"/>
    <w:rsid w:val="36A846DD"/>
    <w:rsid w:val="36AC1CD0"/>
    <w:rsid w:val="36BF2FCF"/>
    <w:rsid w:val="36C50CCB"/>
    <w:rsid w:val="371511B8"/>
    <w:rsid w:val="37725F67"/>
    <w:rsid w:val="37B75A0E"/>
    <w:rsid w:val="380F20AB"/>
    <w:rsid w:val="382B5ED8"/>
    <w:rsid w:val="3853389B"/>
    <w:rsid w:val="38BB1875"/>
    <w:rsid w:val="38D42F2F"/>
    <w:rsid w:val="38D64977"/>
    <w:rsid w:val="39924349"/>
    <w:rsid w:val="39E210F9"/>
    <w:rsid w:val="3A1B5533"/>
    <w:rsid w:val="3A583AA0"/>
    <w:rsid w:val="3A741B21"/>
    <w:rsid w:val="3A8521B0"/>
    <w:rsid w:val="3ABE3914"/>
    <w:rsid w:val="3AC16F61"/>
    <w:rsid w:val="3B1066AC"/>
    <w:rsid w:val="3B1654FE"/>
    <w:rsid w:val="3B280033"/>
    <w:rsid w:val="3B2C52CA"/>
    <w:rsid w:val="3B522852"/>
    <w:rsid w:val="3B594B21"/>
    <w:rsid w:val="3BC12B0D"/>
    <w:rsid w:val="3BC42BBD"/>
    <w:rsid w:val="3BDC4176"/>
    <w:rsid w:val="3C0F5BD7"/>
    <w:rsid w:val="3C4A3796"/>
    <w:rsid w:val="3C5C7547"/>
    <w:rsid w:val="3CAA05F4"/>
    <w:rsid w:val="3CBC20D5"/>
    <w:rsid w:val="3CF43399"/>
    <w:rsid w:val="3D37175C"/>
    <w:rsid w:val="3D510A70"/>
    <w:rsid w:val="3D66129F"/>
    <w:rsid w:val="3D7D3613"/>
    <w:rsid w:val="3DBA6615"/>
    <w:rsid w:val="3DF5589F"/>
    <w:rsid w:val="3E3D0ECD"/>
    <w:rsid w:val="3E3D2DA2"/>
    <w:rsid w:val="3E500D27"/>
    <w:rsid w:val="3E7C7D6E"/>
    <w:rsid w:val="3E8B1D5F"/>
    <w:rsid w:val="3EAB2402"/>
    <w:rsid w:val="3EDE6C13"/>
    <w:rsid w:val="3EE55913"/>
    <w:rsid w:val="3EF913BF"/>
    <w:rsid w:val="3F19736B"/>
    <w:rsid w:val="3F793AA4"/>
    <w:rsid w:val="3F794A4D"/>
    <w:rsid w:val="3F9D1D4A"/>
    <w:rsid w:val="3FC76DC7"/>
    <w:rsid w:val="3FD00372"/>
    <w:rsid w:val="3FD44734"/>
    <w:rsid w:val="3FDE5B06"/>
    <w:rsid w:val="3FE91A72"/>
    <w:rsid w:val="40204729"/>
    <w:rsid w:val="40266BAD"/>
    <w:rsid w:val="40271F5C"/>
    <w:rsid w:val="405F7BB6"/>
    <w:rsid w:val="4064002A"/>
    <w:rsid w:val="407F3756"/>
    <w:rsid w:val="409538C0"/>
    <w:rsid w:val="409E3FCC"/>
    <w:rsid w:val="40A22A67"/>
    <w:rsid w:val="40A47108"/>
    <w:rsid w:val="40BD5297"/>
    <w:rsid w:val="410A1661"/>
    <w:rsid w:val="412F2E76"/>
    <w:rsid w:val="4139423B"/>
    <w:rsid w:val="413E755D"/>
    <w:rsid w:val="4180413E"/>
    <w:rsid w:val="41914247"/>
    <w:rsid w:val="419E624E"/>
    <w:rsid w:val="41B82E6B"/>
    <w:rsid w:val="420460B1"/>
    <w:rsid w:val="421C7DDC"/>
    <w:rsid w:val="42322517"/>
    <w:rsid w:val="4239198C"/>
    <w:rsid w:val="4253296F"/>
    <w:rsid w:val="425C1F37"/>
    <w:rsid w:val="42772618"/>
    <w:rsid w:val="42914900"/>
    <w:rsid w:val="42976733"/>
    <w:rsid w:val="429C5052"/>
    <w:rsid w:val="42A33B1C"/>
    <w:rsid w:val="42A769A7"/>
    <w:rsid w:val="42BE6B6B"/>
    <w:rsid w:val="42D11430"/>
    <w:rsid w:val="42DF267A"/>
    <w:rsid w:val="42EB54C2"/>
    <w:rsid w:val="42F73568"/>
    <w:rsid w:val="430D662E"/>
    <w:rsid w:val="433F4264"/>
    <w:rsid w:val="434F1725"/>
    <w:rsid w:val="4383047F"/>
    <w:rsid w:val="4384412A"/>
    <w:rsid w:val="43A01432"/>
    <w:rsid w:val="43B65BE3"/>
    <w:rsid w:val="43BE15D2"/>
    <w:rsid w:val="43FE4D82"/>
    <w:rsid w:val="442F13DF"/>
    <w:rsid w:val="44384A65"/>
    <w:rsid w:val="444529B0"/>
    <w:rsid w:val="444906F3"/>
    <w:rsid w:val="44EC688A"/>
    <w:rsid w:val="44F763A1"/>
    <w:rsid w:val="44FB0607"/>
    <w:rsid w:val="450866AA"/>
    <w:rsid w:val="453E5D7D"/>
    <w:rsid w:val="45406F90"/>
    <w:rsid w:val="457E617A"/>
    <w:rsid w:val="45CA13BF"/>
    <w:rsid w:val="45CA5FBA"/>
    <w:rsid w:val="45D40490"/>
    <w:rsid w:val="45F66658"/>
    <w:rsid w:val="46086842"/>
    <w:rsid w:val="46232D4E"/>
    <w:rsid w:val="46C10A14"/>
    <w:rsid w:val="46CF05BF"/>
    <w:rsid w:val="471C3E9C"/>
    <w:rsid w:val="47C51F42"/>
    <w:rsid w:val="47F55DE4"/>
    <w:rsid w:val="482215D6"/>
    <w:rsid w:val="48B0789A"/>
    <w:rsid w:val="48C12F4D"/>
    <w:rsid w:val="48C540C0"/>
    <w:rsid w:val="48D36174"/>
    <w:rsid w:val="48DD58AD"/>
    <w:rsid w:val="48DF6083"/>
    <w:rsid w:val="4922204C"/>
    <w:rsid w:val="49373C3E"/>
    <w:rsid w:val="493A4AAE"/>
    <w:rsid w:val="497E373A"/>
    <w:rsid w:val="49A81A17"/>
    <w:rsid w:val="49B07FC0"/>
    <w:rsid w:val="49D23B62"/>
    <w:rsid w:val="49E51A0A"/>
    <w:rsid w:val="4A196B29"/>
    <w:rsid w:val="4A324CF7"/>
    <w:rsid w:val="4A46507D"/>
    <w:rsid w:val="4A63742A"/>
    <w:rsid w:val="4A981A8C"/>
    <w:rsid w:val="4AA14387"/>
    <w:rsid w:val="4AC960E9"/>
    <w:rsid w:val="4AD22DFC"/>
    <w:rsid w:val="4B005883"/>
    <w:rsid w:val="4B0940DB"/>
    <w:rsid w:val="4B164EE0"/>
    <w:rsid w:val="4B271062"/>
    <w:rsid w:val="4B4C0AC8"/>
    <w:rsid w:val="4B6422B6"/>
    <w:rsid w:val="4B6B19D4"/>
    <w:rsid w:val="4B6D0ACA"/>
    <w:rsid w:val="4B887D52"/>
    <w:rsid w:val="4B8E10E1"/>
    <w:rsid w:val="4BEB208F"/>
    <w:rsid w:val="4C123AC0"/>
    <w:rsid w:val="4C1C3D28"/>
    <w:rsid w:val="4C576F75"/>
    <w:rsid w:val="4CA74208"/>
    <w:rsid w:val="4CCC3CDD"/>
    <w:rsid w:val="4CF338F1"/>
    <w:rsid w:val="4CFD720C"/>
    <w:rsid w:val="4D2C0BB1"/>
    <w:rsid w:val="4D461C73"/>
    <w:rsid w:val="4D7367E0"/>
    <w:rsid w:val="4DBE3A8A"/>
    <w:rsid w:val="4DC673F3"/>
    <w:rsid w:val="4E1E61A6"/>
    <w:rsid w:val="4E261AA5"/>
    <w:rsid w:val="4E33247C"/>
    <w:rsid w:val="4E37780E"/>
    <w:rsid w:val="4E3C4E24"/>
    <w:rsid w:val="4E717520"/>
    <w:rsid w:val="4E8E2F0D"/>
    <w:rsid w:val="4E9B1B4B"/>
    <w:rsid w:val="4ED162B3"/>
    <w:rsid w:val="4EFC6106"/>
    <w:rsid w:val="4F06315E"/>
    <w:rsid w:val="4F0C47F7"/>
    <w:rsid w:val="4F164C1D"/>
    <w:rsid w:val="4F18763F"/>
    <w:rsid w:val="4F251D5C"/>
    <w:rsid w:val="4F471CD3"/>
    <w:rsid w:val="4FD03A76"/>
    <w:rsid w:val="4FED1468"/>
    <w:rsid w:val="50267B3A"/>
    <w:rsid w:val="5039786D"/>
    <w:rsid w:val="507B0CDD"/>
    <w:rsid w:val="507B60D8"/>
    <w:rsid w:val="50D40063"/>
    <w:rsid w:val="50DB696C"/>
    <w:rsid w:val="513D0EC1"/>
    <w:rsid w:val="514A73C8"/>
    <w:rsid w:val="515406D7"/>
    <w:rsid w:val="51647E65"/>
    <w:rsid w:val="519531C9"/>
    <w:rsid w:val="51C770FB"/>
    <w:rsid w:val="522105B9"/>
    <w:rsid w:val="52231A75"/>
    <w:rsid w:val="52374280"/>
    <w:rsid w:val="526D4CD2"/>
    <w:rsid w:val="52756F3B"/>
    <w:rsid w:val="52871549"/>
    <w:rsid w:val="528A3533"/>
    <w:rsid w:val="52952D55"/>
    <w:rsid w:val="536777EC"/>
    <w:rsid w:val="53980258"/>
    <w:rsid w:val="53C02053"/>
    <w:rsid w:val="53F02939"/>
    <w:rsid w:val="540939FA"/>
    <w:rsid w:val="54646308"/>
    <w:rsid w:val="54701D04"/>
    <w:rsid w:val="54781E2D"/>
    <w:rsid w:val="54D3233E"/>
    <w:rsid w:val="54EC1C35"/>
    <w:rsid w:val="55161B5E"/>
    <w:rsid w:val="552A1E7A"/>
    <w:rsid w:val="553700F3"/>
    <w:rsid w:val="55393E6B"/>
    <w:rsid w:val="554D570A"/>
    <w:rsid w:val="55524F2D"/>
    <w:rsid w:val="55823A64"/>
    <w:rsid w:val="558F24D4"/>
    <w:rsid w:val="55E13070"/>
    <w:rsid w:val="55E97640"/>
    <w:rsid w:val="56530F5D"/>
    <w:rsid w:val="56B33514"/>
    <w:rsid w:val="56D95906"/>
    <w:rsid w:val="57284198"/>
    <w:rsid w:val="572C44D0"/>
    <w:rsid w:val="57AA647A"/>
    <w:rsid w:val="57AE0494"/>
    <w:rsid w:val="57E27D11"/>
    <w:rsid w:val="584A65AA"/>
    <w:rsid w:val="589D72D4"/>
    <w:rsid w:val="58A27750"/>
    <w:rsid w:val="58BA08D1"/>
    <w:rsid w:val="58E37FE6"/>
    <w:rsid w:val="58E42340"/>
    <w:rsid w:val="58F578D1"/>
    <w:rsid w:val="598F49A2"/>
    <w:rsid w:val="59A47FB3"/>
    <w:rsid w:val="59C77C98"/>
    <w:rsid w:val="59EA4662"/>
    <w:rsid w:val="59EC76FE"/>
    <w:rsid w:val="59F67305"/>
    <w:rsid w:val="5A137381"/>
    <w:rsid w:val="5AD07876"/>
    <w:rsid w:val="5B0214B8"/>
    <w:rsid w:val="5B1F5281"/>
    <w:rsid w:val="5B365495"/>
    <w:rsid w:val="5B3C2554"/>
    <w:rsid w:val="5B581ACB"/>
    <w:rsid w:val="5B9A6FA0"/>
    <w:rsid w:val="5BD56AE2"/>
    <w:rsid w:val="5BE523F7"/>
    <w:rsid w:val="5BFF1AC4"/>
    <w:rsid w:val="5C3B7B28"/>
    <w:rsid w:val="5C5307C8"/>
    <w:rsid w:val="5C734B12"/>
    <w:rsid w:val="5C8005D2"/>
    <w:rsid w:val="5CA0213A"/>
    <w:rsid w:val="5CA90C0B"/>
    <w:rsid w:val="5CBE7098"/>
    <w:rsid w:val="5CC97689"/>
    <w:rsid w:val="5CF74D38"/>
    <w:rsid w:val="5D152E40"/>
    <w:rsid w:val="5D1740AB"/>
    <w:rsid w:val="5D245437"/>
    <w:rsid w:val="5D3227D5"/>
    <w:rsid w:val="5D461ACD"/>
    <w:rsid w:val="5D677532"/>
    <w:rsid w:val="5D8331B0"/>
    <w:rsid w:val="5D867E6A"/>
    <w:rsid w:val="5D9C58DF"/>
    <w:rsid w:val="5DC664B8"/>
    <w:rsid w:val="5DC70453"/>
    <w:rsid w:val="5DDB071C"/>
    <w:rsid w:val="5E035C0E"/>
    <w:rsid w:val="5E0B24A4"/>
    <w:rsid w:val="5E1C432A"/>
    <w:rsid w:val="5E244615"/>
    <w:rsid w:val="5E39312E"/>
    <w:rsid w:val="5E3E24F3"/>
    <w:rsid w:val="5E714AFD"/>
    <w:rsid w:val="5E7B72A3"/>
    <w:rsid w:val="5E8442B7"/>
    <w:rsid w:val="5E973C03"/>
    <w:rsid w:val="5EB72A3D"/>
    <w:rsid w:val="5EDD61AF"/>
    <w:rsid w:val="5EFC4365"/>
    <w:rsid w:val="5F261623"/>
    <w:rsid w:val="5F30162F"/>
    <w:rsid w:val="5F326683"/>
    <w:rsid w:val="5F6E5059"/>
    <w:rsid w:val="5F7323CB"/>
    <w:rsid w:val="5F942C6F"/>
    <w:rsid w:val="5FB54A36"/>
    <w:rsid w:val="5FDD2F38"/>
    <w:rsid w:val="60011A2A"/>
    <w:rsid w:val="600B2C25"/>
    <w:rsid w:val="60213E7A"/>
    <w:rsid w:val="604F560B"/>
    <w:rsid w:val="6059007A"/>
    <w:rsid w:val="60911000"/>
    <w:rsid w:val="60F4333C"/>
    <w:rsid w:val="612C2AD6"/>
    <w:rsid w:val="61A158C4"/>
    <w:rsid w:val="61CF2669"/>
    <w:rsid w:val="61E01BD6"/>
    <w:rsid w:val="624125B1"/>
    <w:rsid w:val="62644844"/>
    <w:rsid w:val="62780D32"/>
    <w:rsid w:val="627E3805"/>
    <w:rsid w:val="62B97655"/>
    <w:rsid w:val="62BE1E54"/>
    <w:rsid w:val="62F471FA"/>
    <w:rsid w:val="635E2806"/>
    <w:rsid w:val="6361115D"/>
    <w:rsid w:val="636E73D6"/>
    <w:rsid w:val="639473AF"/>
    <w:rsid w:val="63AC2174"/>
    <w:rsid w:val="641F52B0"/>
    <w:rsid w:val="64395C36"/>
    <w:rsid w:val="645073B6"/>
    <w:rsid w:val="64754794"/>
    <w:rsid w:val="648D1ADE"/>
    <w:rsid w:val="64917820"/>
    <w:rsid w:val="64E55F38"/>
    <w:rsid w:val="64F4459D"/>
    <w:rsid w:val="65081890"/>
    <w:rsid w:val="65154FA6"/>
    <w:rsid w:val="657D1B52"/>
    <w:rsid w:val="66014531"/>
    <w:rsid w:val="66240876"/>
    <w:rsid w:val="665E3732"/>
    <w:rsid w:val="666370AE"/>
    <w:rsid w:val="6665229A"/>
    <w:rsid w:val="66703465"/>
    <w:rsid w:val="66A05988"/>
    <w:rsid w:val="66CF2882"/>
    <w:rsid w:val="66D63C10"/>
    <w:rsid w:val="66D764E8"/>
    <w:rsid w:val="672D6CEC"/>
    <w:rsid w:val="679E1B59"/>
    <w:rsid w:val="67AF5F87"/>
    <w:rsid w:val="67C96661"/>
    <w:rsid w:val="67D55C76"/>
    <w:rsid w:val="67E82C16"/>
    <w:rsid w:val="67F23AD3"/>
    <w:rsid w:val="681D5437"/>
    <w:rsid w:val="68522741"/>
    <w:rsid w:val="68881CF5"/>
    <w:rsid w:val="688C5153"/>
    <w:rsid w:val="688E0426"/>
    <w:rsid w:val="68945B31"/>
    <w:rsid w:val="68EB3277"/>
    <w:rsid w:val="68F355A8"/>
    <w:rsid w:val="68FC7CCC"/>
    <w:rsid w:val="691930DE"/>
    <w:rsid w:val="69444284"/>
    <w:rsid w:val="699F29DF"/>
    <w:rsid w:val="69B7570A"/>
    <w:rsid w:val="69CE0BCF"/>
    <w:rsid w:val="6A2C1D99"/>
    <w:rsid w:val="6A335CF8"/>
    <w:rsid w:val="6A58493C"/>
    <w:rsid w:val="6A7F05BB"/>
    <w:rsid w:val="6A973924"/>
    <w:rsid w:val="6AAD4420"/>
    <w:rsid w:val="6B8756FD"/>
    <w:rsid w:val="6BBF293B"/>
    <w:rsid w:val="6BC54253"/>
    <w:rsid w:val="6C022DB1"/>
    <w:rsid w:val="6C5D78B4"/>
    <w:rsid w:val="6C8054A7"/>
    <w:rsid w:val="6C896906"/>
    <w:rsid w:val="6CC30793"/>
    <w:rsid w:val="6CC85DA9"/>
    <w:rsid w:val="6CD00B93"/>
    <w:rsid w:val="6CD84C49"/>
    <w:rsid w:val="6D3005DF"/>
    <w:rsid w:val="6D415B5B"/>
    <w:rsid w:val="6D5358B5"/>
    <w:rsid w:val="6D6830E8"/>
    <w:rsid w:val="6DA2484C"/>
    <w:rsid w:val="6DA47311"/>
    <w:rsid w:val="6DB957D2"/>
    <w:rsid w:val="6DBD1686"/>
    <w:rsid w:val="6DC80165"/>
    <w:rsid w:val="6DE75249"/>
    <w:rsid w:val="6E245261"/>
    <w:rsid w:val="6EB756E3"/>
    <w:rsid w:val="6F0D5F20"/>
    <w:rsid w:val="6F6A4D73"/>
    <w:rsid w:val="6F967980"/>
    <w:rsid w:val="6F9957DB"/>
    <w:rsid w:val="6FC0720B"/>
    <w:rsid w:val="6FD213F0"/>
    <w:rsid w:val="6FF84BF7"/>
    <w:rsid w:val="701A07AF"/>
    <w:rsid w:val="701A7B13"/>
    <w:rsid w:val="70F05C1C"/>
    <w:rsid w:val="711E1E29"/>
    <w:rsid w:val="71694213"/>
    <w:rsid w:val="71C34D91"/>
    <w:rsid w:val="71FB09CF"/>
    <w:rsid w:val="7280332A"/>
    <w:rsid w:val="72CD11DC"/>
    <w:rsid w:val="72FF44EF"/>
    <w:rsid w:val="73045395"/>
    <w:rsid w:val="7318735E"/>
    <w:rsid w:val="73247A02"/>
    <w:rsid w:val="7325493A"/>
    <w:rsid w:val="73375A36"/>
    <w:rsid w:val="734819F2"/>
    <w:rsid w:val="7348445F"/>
    <w:rsid w:val="73725D9E"/>
    <w:rsid w:val="73852C46"/>
    <w:rsid w:val="73910A4C"/>
    <w:rsid w:val="7400407A"/>
    <w:rsid w:val="747B1953"/>
    <w:rsid w:val="74973070"/>
    <w:rsid w:val="74E024A3"/>
    <w:rsid w:val="74F00593"/>
    <w:rsid w:val="75152C56"/>
    <w:rsid w:val="756E3266"/>
    <w:rsid w:val="75B65DC2"/>
    <w:rsid w:val="761234EC"/>
    <w:rsid w:val="763B28DC"/>
    <w:rsid w:val="7662726E"/>
    <w:rsid w:val="766B17EA"/>
    <w:rsid w:val="769077D9"/>
    <w:rsid w:val="76C5123F"/>
    <w:rsid w:val="77272A31"/>
    <w:rsid w:val="774E15A1"/>
    <w:rsid w:val="77906FEF"/>
    <w:rsid w:val="77BA4E88"/>
    <w:rsid w:val="785504B4"/>
    <w:rsid w:val="78682435"/>
    <w:rsid w:val="78895C63"/>
    <w:rsid w:val="78E421BD"/>
    <w:rsid w:val="78F817C4"/>
    <w:rsid w:val="78FB7506"/>
    <w:rsid w:val="790243F1"/>
    <w:rsid w:val="790B0DB8"/>
    <w:rsid w:val="792A3948"/>
    <w:rsid w:val="793420A3"/>
    <w:rsid w:val="793952BA"/>
    <w:rsid w:val="795D749A"/>
    <w:rsid w:val="79794CD4"/>
    <w:rsid w:val="79AE4579"/>
    <w:rsid w:val="7A1268B5"/>
    <w:rsid w:val="7A423C4F"/>
    <w:rsid w:val="7A5073DE"/>
    <w:rsid w:val="7A775713"/>
    <w:rsid w:val="7AD41DBD"/>
    <w:rsid w:val="7ADA0770"/>
    <w:rsid w:val="7AE00762"/>
    <w:rsid w:val="7AE2272C"/>
    <w:rsid w:val="7B2C1BF9"/>
    <w:rsid w:val="7B40586D"/>
    <w:rsid w:val="7B436253"/>
    <w:rsid w:val="7B4D0C81"/>
    <w:rsid w:val="7B4F58E7"/>
    <w:rsid w:val="7B5F5B2A"/>
    <w:rsid w:val="7B73459D"/>
    <w:rsid w:val="7B7B048A"/>
    <w:rsid w:val="7B9E207A"/>
    <w:rsid w:val="7BB67B7B"/>
    <w:rsid w:val="7C5C02BC"/>
    <w:rsid w:val="7C63164A"/>
    <w:rsid w:val="7C8F0691"/>
    <w:rsid w:val="7CBD693B"/>
    <w:rsid w:val="7CDD2B07"/>
    <w:rsid w:val="7CF07289"/>
    <w:rsid w:val="7CFE75C5"/>
    <w:rsid w:val="7D1234B6"/>
    <w:rsid w:val="7D336E5F"/>
    <w:rsid w:val="7D831878"/>
    <w:rsid w:val="7D8F1611"/>
    <w:rsid w:val="7D985324"/>
    <w:rsid w:val="7DA67C73"/>
    <w:rsid w:val="7DD824E1"/>
    <w:rsid w:val="7E130E4E"/>
    <w:rsid w:val="7E253064"/>
    <w:rsid w:val="7E2C39AD"/>
    <w:rsid w:val="7E35434E"/>
    <w:rsid w:val="7E3F39F1"/>
    <w:rsid w:val="7E412DC9"/>
    <w:rsid w:val="7E5356EF"/>
    <w:rsid w:val="7E642677"/>
    <w:rsid w:val="7E7C4C45"/>
    <w:rsid w:val="7E7F7167"/>
    <w:rsid w:val="7EA00DAB"/>
    <w:rsid w:val="7EA9255D"/>
    <w:rsid w:val="7EAB72D9"/>
    <w:rsid w:val="7EFC5E0B"/>
    <w:rsid w:val="7F007624"/>
    <w:rsid w:val="7F1B7995"/>
    <w:rsid w:val="7F250E39"/>
    <w:rsid w:val="7F5B2AAD"/>
    <w:rsid w:val="7F6A78C4"/>
    <w:rsid w:val="7F703A34"/>
    <w:rsid w:val="7F947022"/>
    <w:rsid w:val="7FC3410F"/>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autoRedefine/>
    <w:qFormat/>
    <w:uiPriority w:val="0"/>
    <w:pPr>
      <w:keepNext/>
      <w:outlineLvl w:val="0"/>
    </w:pPr>
    <w:rPr>
      <w:u w:val="single"/>
    </w:rPr>
  </w:style>
  <w:style w:type="paragraph" w:styleId="4">
    <w:name w:val="heading 3"/>
    <w:basedOn w:val="1"/>
    <w:next w:val="1"/>
    <w:autoRedefine/>
    <w:qFormat/>
    <w:uiPriority w:val="0"/>
    <w:pPr>
      <w:keepNext/>
      <w:keepLines/>
      <w:spacing w:line="360" w:lineRule="auto"/>
      <w:jc w:val="left"/>
      <w:outlineLvl w:val="2"/>
    </w:pPr>
    <w:rPr>
      <w:rFonts w:ascii="Times New Roman"/>
      <w:b/>
      <w:bCs/>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line="360" w:lineRule="auto"/>
    </w:pPr>
    <w:rPr>
      <w:szCs w:val="20"/>
    </w:rPr>
  </w:style>
  <w:style w:type="paragraph" w:styleId="5">
    <w:name w:val="annotation text"/>
    <w:basedOn w:val="1"/>
    <w:autoRedefine/>
    <w:qFormat/>
    <w:uiPriority w:val="0"/>
    <w:pPr>
      <w:jc w:val="left"/>
    </w:pPr>
  </w:style>
  <w:style w:type="paragraph" w:styleId="6">
    <w:name w:val="toc 5"/>
    <w:basedOn w:val="1"/>
    <w:next w:val="1"/>
    <w:autoRedefine/>
    <w:qFormat/>
    <w:uiPriority w:val="0"/>
    <w:pPr>
      <w:ind w:left="1680"/>
    </w:pPr>
  </w:style>
  <w:style w:type="paragraph" w:styleId="7">
    <w:name w:val="Plain Text"/>
    <w:basedOn w:val="1"/>
    <w:next w:val="1"/>
    <w:autoRedefine/>
    <w:qFormat/>
    <w:uiPriority w:val="0"/>
    <w:rPr>
      <w:rFonts w:ascii="宋体" w:hAnsi="Courier New" w:cs="Courier New"/>
      <w:szCs w:val="21"/>
    </w:rPr>
  </w:style>
  <w:style w:type="paragraph" w:styleId="8">
    <w:name w:val="Body Text Indent 2"/>
    <w:basedOn w:val="1"/>
    <w:autoRedefine/>
    <w:unhideWhenUsed/>
    <w:qFormat/>
    <w:uiPriority w:val="99"/>
    <w:pPr>
      <w:spacing w:after="120" w:line="480" w:lineRule="auto"/>
      <w:ind w:left="420" w:leftChars="200"/>
    </w:pPr>
  </w:style>
  <w:style w:type="paragraph" w:styleId="9">
    <w:name w:val="Balloon Text"/>
    <w:basedOn w:val="1"/>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6"/>
    <w:basedOn w:val="1"/>
    <w:next w:val="1"/>
    <w:autoRedefine/>
    <w:qFormat/>
    <w:uiPriority w:val="99"/>
    <w:pPr>
      <w:ind w:left="2100" w:leftChars="1000"/>
    </w:pPr>
    <w:rPr>
      <w:rFonts w:ascii="Calibri" w:hAnsi="Calibri"/>
      <w:szCs w:val="22"/>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unhideWhenUsed/>
    <w:qFormat/>
    <w:uiPriority w:val="99"/>
    <w:pPr>
      <w:spacing w:beforeAutospacing="1" w:afterAutospacing="1"/>
      <w:jc w:val="left"/>
    </w:pPr>
    <w:rPr>
      <w:rFonts w:cs="Times New Roman"/>
      <w:kern w:val="0"/>
      <w:sz w:val="24"/>
    </w:rPr>
  </w:style>
  <w:style w:type="paragraph" w:styleId="15">
    <w:name w:val="Body Text First Indent"/>
    <w:basedOn w:val="1"/>
    <w:next w:val="1"/>
    <w:autoRedefine/>
    <w:qFormat/>
    <w:uiPriority w:val="0"/>
    <w:pPr>
      <w:spacing w:after="120"/>
      <w:ind w:firstLine="420" w:firstLineChars="100"/>
    </w:pPr>
  </w:style>
  <w:style w:type="character" w:styleId="18">
    <w:name w:val="page number"/>
    <w:basedOn w:val="17"/>
    <w:autoRedefine/>
    <w:qFormat/>
    <w:uiPriority w:val="0"/>
  </w:style>
  <w:style w:type="paragraph" w:customStyle="1" w:styleId="19">
    <w:name w:val="样式 文字 + 首行缩进:  2 字符3"/>
    <w:basedOn w:val="1"/>
    <w:autoRedefine/>
    <w:qFormat/>
    <w:uiPriority w:val="0"/>
    <w:pPr>
      <w:spacing w:line="360" w:lineRule="auto"/>
      <w:jc w:val="left"/>
    </w:pPr>
    <w:rPr>
      <w:rFonts w:ascii="Calibri" w:hAnsi="Calibri"/>
      <w:sz w:val="28"/>
      <w:szCs w:val="28"/>
    </w:rPr>
  </w:style>
  <w:style w:type="paragraph" w:customStyle="1" w:styleId="20">
    <w:name w:val="普通 (Web)"/>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1">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styleId="22">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6384</Words>
  <Characters>6584</Characters>
  <Lines>0</Lines>
  <Paragraphs>0</Paragraphs>
  <TotalTime>10</TotalTime>
  <ScaleCrop>false</ScaleCrop>
  <LinksUpToDate>false</LinksUpToDate>
  <CharactersWithSpaces>7108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2022-11-14T08:31:00Z</dcterms:created>
  <dc:creator>Administrator</dc:creator>
  <cp:lastModifiedBy>覆盆子</cp:lastModifiedBy>
  <cp:lastPrinted>2024-03-22T09:18:05Z</cp:lastPrinted>
  <dcterms:modified xsi:type="dcterms:W3CDTF">2024-03-22T09:18:22Z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3A5CBD3B013245119C0B8E94C5EFE9A6_13</vt:lpwstr>
  </property>
</Properties>
</file>