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jc w:val="center"/>
        <w:rPr>
          <w:rFonts w:ascii="宋体" w:hAnsi="宋体" w:cs="宋体"/>
          <w:b/>
          <w:sz w:val="32"/>
          <w:szCs w:val="32"/>
        </w:rPr>
      </w:pPr>
    </w:p>
    <w:p>
      <w:pPr>
        <w:pStyle w:val="16"/>
        <w:adjustRightInd w:val="0"/>
        <w:snapToGrid w:val="0"/>
        <w:spacing w:line="360" w:lineRule="auto"/>
        <w:jc w:val="center"/>
        <w:rPr>
          <w:rFonts w:hAnsi="宋体" w:cs="宋体"/>
          <w:b/>
          <w:sz w:val="44"/>
          <w:szCs w:val="44"/>
          <w:lang w:val="zh-CN"/>
        </w:rPr>
      </w:pPr>
      <w:bookmarkStart w:id="0" w:name="_Toc22419"/>
    </w:p>
    <w:p>
      <w:pPr>
        <w:pStyle w:val="16"/>
        <w:adjustRightInd w:val="0"/>
        <w:snapToGrid w:val="0"/>
        <w:spacing w:line="360" w:lineRule="auto"/>
        <w:jc w:val="center"/>
        <w:rPr>
          <w:rFonts w:hAnsi="宋体" w:cs="宋体"/>
          <w:b/>
          <w:sz w:val="44"/>
          <w:szCs w:val="44"/>
          <w:lang w:val="zh-CN"/>
        </w:rPr>
      </w:pPr>
    </w:p>
    <w:p>
      <w:pPr>
        <w:pStyle w:val="16"/>
        <w:adjustRightInd w:val="0"/>
        <w:snapToGrid w:val="0"/>
        <w:spacing w:line="360" w:lineRule="auto"/>
        <w:jc w:val="center"/>
        <w:rPr>
          <w:rFonts w:hAnsi="宋体" w:cs="宋体"/>
          <w:b/>
          <w:kern w:val="0"/>
          <w:sz w:val="44"/>
          <w:szCs w:val="44"/>
        </w:rPr>
      </w:pPr>
      <w:r>
        <w:rPr>
          <w:rFonts w:hint="eastAsia" w:hAnsi="宋体" w:cs="宋体"/>
          <w:b/>
          <w:kern w:val="0"/>
          <w:sz w:val="44"/>
          <w:szCs w:val="44"/>
        </w:rPr>
        <w:t>中山市公共交通运输集团有限公司</w:t>
      </w:r>
    </w:p>
    <w:p>
      <w:pPr>
        <w:pStyle w:val="16"/>
        <w:adjustRightInd w:val="0"/>
        <w:snapToGrid w:val="0"/>
        <w:spacing w:line="360" w:lineRule="auto"/>
        <w:jc w:val="center"/>
        <w:rPr>
          <w:rFonts w:hAnsi="宋体" w:cs="宋体"/>
          <w:b/>
          <w:kern w:val="0"/>
          <w:sz w:val="44"/>
          <w:szCs w:val="44"/>
        </w:rPr>
      </w:pPr>
      <w:bookmarkStart w:id="1" w:name="_Toc13975"/>
      <w:bookmarkStart w:id="2" w:name="_Toc29636"/>
      <w:r>
        <w:rPr>
          <w:rFonts w:hint="eastAsia" w:hAnsi="宋体" w:cs="宋体"/>
          <w:b/>
          <w:kern w:val="0"/>
          <w:sz w:val="44"/>
          <w:szCs w:val="44"/>
        </w:rPr>
        <w:t xml:space="preserve">综合安防管理平台建设项目 </w:t>
      </w:r>
    </w:p>
    <w:p>
      <w:pPr>
        <w:widowControl/>
        <w:tabs>
          <w:tab w:val="left" w:pos="567"/>
        </w:tabs>
        <w:autoSpaceDE w:val="0"/>
        <w:autoSpaceDN w:val="0"/>
        <w:jc w:val="center"/>
        <w:textAlignment w:val="bottom"/>
        <w:rPr>
          <w:rFonts w:ascii="宋体" w:hAnsi="宋体" w:cs="宋体"/>
          <w:b/>
          <w:sz w:val="44"/>
          <w:szCs w:val="44"/>
        </w:rPr>
      </w:pPr>
    </w:p>
    <w:p>
      <w:pPr>
        <w:widowControl/>
        <w:tabs>
          <w:tab w:val="left" w:pos="567"/>
        </w:tabs>
        <w:autoSpaceDE w:val="0"/>
        <w:autoSpaceDN w:val="0"/>
        <w:jc w:val="center"/>
        <w:textAlignment w:val="bottom"/>
        <w:rPr>
          <w:rFonts w:ascii="宋体" w:hAnsi="宋体" w:cs="宋体"/>
          <w:color w:val="000000"/>
          <w:sz w:val="96"/>
          <w:szCs w:val="28"/>
        </w:rPr>
      </w:pPr>
      <w:r>
        <w:rPr>
          <w:rFonts w:hint="eastAsia" w:ascii="宋体" w:hAnsi="宋体" w:cs="宋体"/>
          <w:color w:val="000000"/>
          <w:sz w:val="96"/>
          <w:szCs w:val="28"/>
        </w:rPr>
        <w:t>询价文件</w:t>
      </w:r>
    </w:p>
    <w:bookmarkEnd w:id="1"/>
    <w:bookmarkEnd w:id="2"/>
    <w:p>
      <w:pPr>
        <w:pStyle w:val="16"/>
        <w:adjustRightInd w:val="0"/>
        <w:snapToGrid w:val="0"/>
        <w:spacing w:line="360" w:lineRule="auto"/>
        <w:jc w:val="center"/>
        <w:outlineLvl w:val="0"/>
        <w:rPr>
          <w:rFonts w:hAnsi="宋体" w:cs="宋体"/>
          <w:b/>
          <w:sz w:val="44"/>
          <w:szCs w:val="44"/>
          <w:lang w:val="zh-CN"/>
        </w:rPr>
      </w:pPr>
    </w:p>
    <w:p>
      <w:pPr>
        <w:pStyle w:val="16"/>
        <w:adjustRightInd w:val="0"/>
        <w:snapToGrid w:val="0"/>
        <w:spacing w:line="360" w:lineRule="auto"/>
        <w:jc w:val="center"/>
        <w:outlineLvl w:val="0"/>
        <w:rPr>
          <w:rFonts w:hAnsi="宋体" w:cs="宋体"/>
          <w:b/>
          <w:sz w:val="44"/>
          <w:szCs w:val="44"/>
          <w:lang w:val="zh-CN"/>
        </w:rPr>
      </w:pPr>
    </w:p>
    <w:p>
      <w:pPr>
        <w:pStyle w:val="16"/>
        <w:adjustRightInd w:val="0"/>
        <w:snapToGrid w:val="0"/>
        <w:spacing w:line="360" w:lineRule="auto"/>
        <w:jc w:val="center"/>
        <w:outlineLvl w:val="0"/>
        <w:rPr>
          <w:rFonts w:hAnsi="宋体" w:cs="宋体"/>
          <w:b/>
          <w:sz w:val="44"/>
          <w:szCs w:val="44"/>
          <w:lang w:val="zh-CN"/>
        </w:rPr>
      </w:pPr>
    </w:p>
    <w:p>
      <w:pPr>
        <w:pStyle w:val="16"/>
        <w:adjustRightInd w:val="0"/>
        <w:snapToGrid w:val="0"/>
        <w:spacing w:line="360" w:lineRule="auto"/>
        <w:jc w:val="center"/>
        <w:outlineLvl w:val="0"/>
        <w:rPr>
          <w:rFonts w:hAnsi="宋体" w:cs="宋体"/>
          <w:b/>
          <w:sz w:val="44"/>
          <w:szCs w:val="44"/>
          <w:lang w:val="zh-CN"/>
        </w:rPr>
      </w:pPr>
    </w:p>
    <w:p>
      <w:pPr>
        <w:pStyle w:val="16"/>
        <w:adjustRightInd w:val="0"/>
        <w:snapToGrid w:val="0"/>
        <w:spacing w:line="360" w:lineRule="auto"/>
        <w:jc w:val="center"/>
        <w:outlineLvl w:val="0"/>
        <w:rPr>
          <w:rFonts w:hAnsi="宋体" w:cs="宋体"/>
          <w:color w:val="000000"/>
          <w:sz w:val="32"/>
          <w:szCs w:val="32"/>
        </w:rPr>
      </w:pPr>
      <w:r>
        <w:rPr>
          <w:rFonts w:hint="eastAsia" w:hAnsi="宋体" w:cs="宋体"/>
          <w:color w:val="000000"/>
          <w:sz w:val="32"/>
          <w:szCs w:val="32"/>
        </w:rPr>
        <w:t>中山市公共交通运输集团有限公司</w:t>
      </w:r>
    </w:p>
    <w:p>
      <w:pPr>
        <w:spacing w:line="460" w:lineRule="exact"/>
        <w:jc w:val="center"/>
        <w:rPr>
          <w:rFonts w:ascii="宋体" w:hAnsi="宋体" w:cs="宋体"/>
          <w:b/>
          <w:kern w:val="28"/>
          <w:sz w:val="44"/>
          <w:szCs w:val="44"/>
        </w:rPr>
      </w:pPr>
      <w:r>
        <w:rPr>
          <w:rFonts w:hint="eastAsia" w:ascii="宋体" w:hAnsi="宋体" w:cs="宋体"/>
          <w:color w:val="000000"/>
          <w:sz w:val="32"/>
          <w:szCs w:val="32"/>
        </w:rPr>
        <w:t>2024年</w:t>
      </w:r>
      <w:r>
        <w:rPr>
          <w:rFonts w:hint="eastAsia" w:ascii="宋体" w:hAnsi="宋体" w:cs="宋体"/>
          <w:color w:val="000000"/>
          <w:sz w:val="32"/>
          <w:szCs w:val="32"/>
          <w:lang w:val="en-US" w:eastAsia="zh-CN"/>
        </w:rPr>
        <w:t>3</w:t>
      </w:r>
      <w:r>
        <w:rPr>
          <w:rFonts w:hint="eastAsia" w:ascii="宋体" w:hAnsi="宋体" w:cs="宋体"/>
          <w:color w:val="000000"/>
          <w:sz w:val="32"/>
          <w:szCs w:val="32"/>
        </w:rPr>
        <w:t>月</w:t>
      </w:r>
      <w:r>
        <w:rPr>
          <w:rFonts w:hint="eastAsia" w:ascii="宋体" w:hAnsi="宋体" w:cs="宋体"/>
          <w:b/>
          <w:sz w:val="44"/>
          <w:szCs w:val="44"/>
          <w:lang w:val="zh-CN"/>
        </w:rPr>
        <w:br w:type="page"/>
      </w:r>
      <w:bookmarkStart w:id="3" w:name="_Toc2576"/>
      <w:bookmarkStart w:id="4" w:name="_Toc14779"/>
      <w:r>
        <w:rPr>
          <w:rFonts w:hint="eastAsia" w:ascii="宋体" w:hAnsi="宋体" w:cs="宋体"/>
          <w:b/>
          <w:bCs/>
          <w:sz w:val="44"/>
          <w:szCs w:val="44"/>
        </w:rPr>
        <w:t>第一部分</w:t>
      </w:r>
      <w:r>
        <w:rPr>
          <w:rFonts w:hint="eastAsia" w:hAnsi="宋体" w:cs="宋体"/>
          <w:b/>
          <w:bCs/>
          <w:sz w:val="44"/>
          <w:szCs w:val="44"/>
        </w:rPr>
        <w:t xml:space="preserve"> </w:t>
      </w:r>
      <w:r>
        <w:rPr>
          <w:rFonts w:hint="eastAsia" w:ascii="宋体" w:hAnsi="宋体" w:cs="宋体"/>
          <w:b/>
          <w:bCs/>
          <w:sz w:val="44"/>
          <w:szCs w:val="44"/>
        </w:rPr>
        <w:t xml:space="preserve"> 邀请函</w:t>
      </w:r>
    </w:p>
    <w:p>
      <w:pPr>
        <w:spacing w:line="560" w:lineRule="exact"/>
        <w:jc w:val="left"/>
        <w:rPr>
          <w:rFonts w:ascii="宋体" w:hAnsi="宋体" w:cs="宋体"/>
          <w:spacing w:val="20"/>
          <w:sz w:val="24"/>
        </w:rPr>
      </w:pPr>
      <w:r>
        <w:rPr>
          <w:rFonts w:hint="eastAsia" w:ascii="宋体" w:hAnsi="宋体" w:cs="宋体"/>
          <w:spacing w:val="20"/>
          <w:sz w:val="24"/>
        </w:rPr>
        <w:t>各潜在供应商：</w:t>
      </w:r>
    </w:p>
    <w:p>
      <w:pPr>
        <w:spacing w:line="560" w:lineRule="exact"/>
        <w:ind w:firstLine="560" w:firstLineChars="200"/>
        <w:jc w:val="left"/>
        <w:rPr>
          <w:rFonts w:ascii="宋体" w:hAnsi="宋体" w:cs="宋体"/>
          <w:sz w:val="24"/>
        </w:rPr>
      </w:pPr>
      <w:r>
        <w:rPr>
          <w:rFonts w:hint="eastAsia" w:ascii="宋体" w:hAnsi="宋体" w:cs="宋体"/>
          <w:spacing w:val="20"/>
          <w:sz w:val="24"/>
        </w:rPr>
        <w:t>现就中山市公共交通运输集团有限公司（下称采购人）综合安防管理平台建设项目进行公开采购，欢迎符合资格条件的供应商参与报价评选，有关事项如下：</w:t>
      </w:r>
    </w:p>
    <w:p>
      <w:pPr>
        <w:spacing w:line="560" w:lineRule="exact"/>
        <w:ind w:firstLine="482" w:firstLineChars="200"/>
        <w:rPr>
          <w:rFonts w:ascii="宋体" w:hAnsi="宋体" w:cs="宋体"/>
          <w:b/>
          <w:bCs/>
          <w:sz w:val="24"/>
        </w:rPr>
      </w:pPr>
      <w:r>
        <w:rPr>
          <w:rFonts w:hint="eastAsia" w:ascii="宋体" w:hAnsi="宋体" w:cs="宋体"/>
          <w:b/>
          <w:bCs/>
          <w:sz w:val="24"/>
        </w:rPr>
        <w:t>一、项目名称：</w:t>
      </w:r>
      <w:r>
        <w:rPr>
          <w:rFonts w:hint="eastAsia" w:ascii="宋体" w:hAnsi="宋体" w:cs="宋体"/>
          <w:sz w:val="24"/>
        </w:rPr>
        <w:t>中山市公共交通运输集团有限公司综合安防管理平台建设项目</w:t>
      </w:r>
    </w:p>
    <w:p>
      <w:pPr>
        <w:spacing w:line="560" w:lineRule="exact"/>
        <w:ind w:firstLine="482" w:firstLineChars="200"/>
        <w:rPr>
          <w:rFonts w:ascii="宋体" w:hAnsi="宋体" w:cs="宋体"/>
          <w:sz w:val="24"/>
        </w:rPr>
      </w:pPr>
      <w:r>
        <w:rPr>
          <w:rFonts w:hint="eastAsia" w:ascii="宋体" w:hAnsi="宋体" w:cs="宋体"/>
          <w:b/>
          <w:bCs/>
          <w:sz w:val="24"/>
        </w:rPr>
        <w:t>二、项目要求：</w:t>
      </w:r>
      <w:r>
        <w:rPr>
          <w:rFonts w:hint="eastAsia" w:ascii="宋体" w:hAnsi="宋体" w:cs="宋体"/>
          <w:sz w:val="24"/>
        </w:rPr>
        <w:t>详细技术参数见第二部分《用户需求书》</w:t>
      </w:r>
    </w:p>
    <w:p>
      <w:pPr>
        <w:spacing w:line="560" w:lineRule="exact"/>
        <w:ind w:firstLine="482" w:firstLineChars="200"/>
        <w:rPr>
          <w:rFonts w:ascii="宋体" w:hAnsi="宋体" w:cs="宋体"/>
          <w:b/>
          <w:bCs/>
          <w:sz w:val="24"/>
        </w:rPr>
      </w:pPr>
      <w:r>
        <w:rPr>
          <w:rFonts w:hint="eastAsia" w:ascii="宋体" w:hAnsi="宋体" w:cs="宋体"/>
          <w:b/>
          <w:bCs/>
          <w:sz w:val="24"/>
        </w:rPr>
        <w:t>三、预算金额：</w:t>
      </w:r>
      <w:r>
        <w:rPr>
          <w:rFonts w:hint="eastAsia" w:ascii="宋体" w:hAnsi="宋体" w:cs="宋体"/>
          <w:sz w:val="24"/>
        </w:rPr>
        <w:t>上限价人民币75300.00元</w:t>
      </w:r>
    </w:p>
    <w:p>
      <w:pPr>
        <w:spacing w:line="560" w:lineRule="exact"/>
        <w:ind w:firstLine="482" w:firstLineChars="200"/>
        <w:rPr>
          <w:rFonts w:ascii="宋体" w:hAnsi="宋体" w:cs="宋体"/>
          <w:b/>
          <w:bCs/>
          <w:sz w:val="24"/>
        </w:rPr>
      </w:pPr>
      <w:r>
        <w:rPr>
          <w:rFonts w:hint="eastAsia" w:ascii="宋体" w:hAnsi="宋体" w:cs="宋体"/>
          <w:b/>
          <w:bCs/>
          <w:sz w:val="24"/>
        </w:rPr>
        <w:t>四、项目内容</w:t>
      </w:r>
    </w:p>
    <w:p>
      <w:pPr>
        <w:spacing w:line="560" w:lineRule="exact"/>
        <w:ind w:firstLine="480" w:firstLineChars="200"/>
        <w:rPr>
          <w:rFonts w:ascii="宋体" w:hAnsi="宋体" w:cs="宋体"/>
          <w:sz w:val="24"/>
          <w:lang w:val="zh-CN"/>
        </w:rPr>
      </w:pPr>
      <w:r>
        <w:rPr>
          <w:rFonts w:hint="eastAsia" w:ascii="宋体" w:hAnsi="宋体" w:cs="宋体"/>
          <w:sz w:val="24"/>
          <w:lang w:val="zh-CN"/>
        </w:rPr>
        <w:t>（一）采购1台行业品牌服务器作为视频管理服务器，用于综合安防管理平台的私有化部署应用。</w:t>
      </w:r>
    </w:p>
    <w:p>
      <w:pPr>
        <w:spacing w:line="560" w:lineRule="exact"/>
        <w:ind w:firstLine="480" w:firstLineChars="200"/>
        <w:rPr>
          <w:rFonts w:ascii="宋体" w:hAnsi="宋体" w:cs="宋体"/>
          <w:sz w:val="24"/>
          <w:lang w:val="zh-CN"/>
        </w:rPr>
      </w:pPr>
      <w:r>
        <w:rPr>
          <w:rFonts w:hint="eastAsia" w:ascii="宋体" w:hAnsi="宋体" w:cs="宋体"/>
          <w:sz w:val="24"/>
          <w:lang w:val="zh-CN"/>
        </w:rPr>
        <w:t>（</w:t>
      </w:r>
      <w:r>
        <w:rPr>
          <w:rFonts w:hint="eastAsia" w:ascii="宋体" w:hAnsi="宋体" w:cs="宋体"/>
          <w:sz w:val="24"/>
        </w:rPr>
        <w:t>二</w:t>
      </w:r>
      <w:r>
        <w:rPr>
          <w:rFonts w:hint="eastAsia" w:ascii="宋体" w:hAnsi="宋体" w:cs="宋体"/>
          <w:sz w:val="24"/>
          <w:lang w:val="zh-CN"/>
        </w:rPr>
        <w:t>）采购1套综合安防管理平台，平台设置基础功能模块、视频监控模块、视频联网模块和告警联动模块等，提供至少</w:t>
      </w:r>
      <w:r>
        <w:rPr>
          <w:rFonts w:hint="eastAsia" w:ascii="宋体" w:hAnsi="宋体" w:cs="宋体"/>
          <w:sz w:val="24"/>
        </w:rPr>
        <w:t>1000</w:t>
      </w:r>
      <w:r>
        <w:rPr>
          <w:rFonts w:hint="eastAsia" w:ascii="宋体" w:hAnsi="宋体" w:cs="宋体"/>
          <w:sz w:val="24"/>
          <w:lang w:val="zh-CN"/>
        </w:rPr>
        <w:t>个监控管理</w:t>
      </w:r>
      <w:r>
        <w:rPr>
          <w:rFonts w:hint="eastAsia" w:ascii="宋体" w:hAnsi="宋体" w:cs="宋体"/>
          <w:sz w:val="24"/>
        </w:rPr>
        <w:t>和50个门禁管理</w:t>
      </w:r>
      <w:r>
        <w:rPr>
          <w:rFonts w:hint="eastAsia" w:ascii="宋体" w:hAnsi="宋体" w:cs="宋体"/>
          <w:sz w:val="24"/>
          <w:lang w:val="zh-CN"/>
        </w:rPr>
        <w:t>授权接入（详见用户需求书）。注：由于</w:t>
      </w:r>
      <w:r>
        <w:rPr>
          <w:rFonts w:hint="eastAsia" w:ascii="宋体" w:hAnsi="宋体" w:cs="宋体"/>
          <w:spacing w:val="20"/>
          <w:sz w:val="24"/>
        </w:rPr>
        <w:t>采购人</w:t>
      </w:r>
      <w:r>
        <w:rPr>
          <w:rFonts w:hint="eastAsia" w:ascii="宋体" w:hAnsi="宋体" w:cs="宋体"/>
          <w:sz w:val="24"/>
          <w:lang w:val="zh-CN"/>
        </w:rPr>
        <w:t>现有监控摄像头均采用海康威视摄像头，为保证兼容性和稳定性，综合安防管理平台要求</w:t>
      </w:r>
      <w:r>
        <w:rPr>
          <w:rFonts w:hint="eastAsia" w:ascii="宋体" w:hAnsi="宋体" w:cs="宋体"/>
          <w:sz w:val="24"/>
          <w:lang w:val="en-US" w:eastAsia="zh-CN"/>
        </w:rPr>
        <w:t>兼容海康威视摄像头的所有功能</w:t>
      </w:r>
      <w:r>
        <w:rPr>
          <w:rFonts w:hint="eastAsia" w:ascii="宋体" w:hAnsi="宋体" w:cs="宋体"/>
          <w:sz w:val="24"/>
          <w:lang w:val="zh-CN"/>
        </w:rPr>
        <w:t>。</w:t>
      </w:r>
    </w:p>
    <w:p>
      <w:pPr>
        <w:spacing w:line="560" w:lineRule="exact"/>
        <w:ind w:firstLine="482" w:firstLineChars="200"/>
        <w:rPr>
          <w:rFonts w:ascii="宋体" w:hAnsi="宋体" w:cs="宋体"/>
          <w:b/>
          <w:bCs/>
          <w:sz w:val="24"/>
        </w:rPr>
      </w:pPr>
      <w:r>
        <w:rPr>
          <w:rFonts w:hint="eastAsia" w:ascii="宋体" w:hAnsi="宋体" w:cs="宋体"/>
          <w:b/>
          <w:bCs/>
          <w:sz w:val="24"/>
        </w:rPr>
        <w:t>五、合格供应商资格要求</w:t>
      </w:r>
    </w:p>
    <w:p>
      <w:pPr>
        <w:spacing w:line="560" w:lineRule="exact"/>
        <w:ind w:firstLine="480" w:firstLineChars="200"/>
        <w:rPr>
          <w:rFonts w:ascii="宋体" w:hAnsi="宋体" w:cs="宋体"/>
          <w:sz w:val="24"/>
          <w:lang w:val="zh-CN"/>
        </w:rPr>
      </w:pPr>
      <w:r>
        <w:rPr>
          <w:rFonts w:hint="eastAsia" w:ascii="宋体" w:hAnsi="宋体" w:cs="宋体"/>
          <w:sz w:val="24"/>
          <w:lang w:val="zh-CN"/>
        </w:rPr>
        <w:t>（一）具有承担民事责任能力的在中华人民共和国境内注册的企业法人或其他社会组织，并独立于</w:t>
      </w:r>
      <w:r>
        <w:rPr>
          <w:rFonts w:hint="eastAsia" w:ascii="宋体" w:hAnsi="宋体" w:cs="宋体"/>
          <w:spacing w:val="20"/>
          <w:sz w:val="24"/>
        </w:rPr>
        <w:t>采购人</w:t>
      </w:r>
      <w:r>
        <w:rPr>
          <w:rFonts w:hint="eastAsia" w:ascii="宋体" w:hAnsi="宋体" w:cs="宋体"/>
          <w:sz w:val="24"/>
          <w:lang w:val="zh-CN"/>
        </w:rPr>
        <w:t>。</w:t>
      </w:r>
      <w:bookmarkStart w:id="13" w:name="_GoBack"/>
      <w:bookmarkEnd w:id="13"/>
    </w:p>
    <w:p>
      <w:pPr>
        <w:spacing w:line="560" w:lineRule="exact"/>
        <w:ind w:firstLine="480" w:firstLineChars="200"/>
        <w:rPr>
          <w:rFonts w:ascii="宋体" w:hAnsi="宋体" w:cs="宋体"/>
          <w:sz w:val="24"/>
          <w:lang w:val="zh-CN"/>
        </w:rPr>
      </w:pPr>
      <w:r>
        <w:rPr>
          <w:rFonts w:hint="eastAsia" w:ascii="宋体" w:hAnsi="宋体" w:cs="宋体"/>
          <w:sz w:val="24"/>
          <w:lang w:val="zh-CN"/>
        </w:rPr>
        <w:t>（二）参评</w:t>
      </w:r>
      <w:r>
        <w:rPr>
          <w:rFonts w:hint="eastAsia" w:ascii="宋体" w:hAnsi="宋体" w:cs="宋体"/>
          <w:spacing w:val="20"/>
          <w:sz w:val="24"/>
        </w:rPr>
        <w:t>供应</w:t>
      </w:r>
      <w:r>
        <w:rPr>
          <w:rFonts w:hint="eastAsia" w:ascii="宋体" w:hAnsi="宋体" w:cs="宋体"/>
          <w:sz w:val="24"/>
          <w:lang w:val="zh-CN"/>
        </w:rPr>
        <w:t>商承诺不得以任何方式转包或分包本项目。</w:t>
      </w:r>
    </w:p>
    <w:p>
      <w:pPr>
        <w:spacing w:line="560" w:lineRule="exact"/>
        <w:ind w:firstLine="480" w:firstLineChars="200"/>
        <w:rPr>
          <w:rFonts w:ascii="宋体" w:hAnsi="宋体" w:cs="宋体"/>
          <w:sz w:val="24"/>
        </w:rPr>
      </w:pPr>
      <w:r>
        <w:rPr>
          <w:rFonts w:hint="eastAsia" w:ascii="宋体" w:hAnsi="宋体" w:cs="宋体"/>
          <w:sz w:val="24"/>
        </w:rPr>
        <w:t>（三）参评</w:t>
      </w:r>
      <w:r>
        <w:rPr>
          <w:rFonts w:hint="eastAsia" w:ascii="宋体" w:hAnsi="宋体" w:cs="宋体"/>
          <w:spacing w:val="20"/>
          <w:sz w:val="24"/>
        </w:rPr>
        <w:t>供应</w:t>
      </w:r>
      <w:r>
        <w:rPr>
          <w:rFonts w:hint="eastAsia" w:ascii="宋体" w:hAnsi="宋体" w:cs="宋体"/>
          <w:sz w:val="24"/>
        </w:rPr>
        <w:t>商满足本项目的主要需求，填写《需求响应表》（详见第四部分）并全部完全响应，无负偏离。</w:t>
      </w:r>
    </w:p>
    <w:p>
      <w:pPr>
        <w:spacing w:line="560" w:lineRule="exact"/>
        <w:ind w:firstLine="480" w:firstLineChars="200"/>
        <w:rPr>
          <w:rFonts w:ascii="宋体" w:hAnsi="宋体" w:cs="宋体"/>
          <w:sz w:val="24"/>
        </w:rPr>
      </w:pPr>
      <w:r>
        <w:rPr>
          <w:rFonts w:hint="eastAsia" w:ascii="宋体" w:hAnsi="宋体" w:cs="宋体"/>
          <w:sz w:val="24"/>
        </w:rPr>
        <w:t>（四）非联合体潜在</w:t>
      </w:r>
      <w:r>
        <w:rPr>
          <w:rFonts w:hint="eastAsia" w:ascii="宋体" w:hAnsi="宋体" w:cs="宋体"/>
          <w:sz w:val="24"/>
          <w:lang w:val="en-US" w:eastAsia="zh-CN"/>
        </w:rPr>
        <w:t>供应</w:t>
      </w:r>
      <w:r>
        <w:rPr>
          <w:rFonts w:hint="eastAsia" w:ascii="宋体" w:hAnsi="宋体" w:cs="宋体"/>
          <w:sz w:val="24"/>
        </w:rPr>
        <w:t>商参评报价。</w:t>
      </w:r>
    </w:p>
    <w:p>
      <w:pPr>
        <w:spacing w:line="560" w:lineRule="exact"/>
        <w:ind w:firstLine="480" w:firstLineChars="200"/>
        <w:rPr>
          <w:rFonts w:ascii="宋体" w:hAnsi="宋体" w:cs="宋体"/>
          <w:sz w:val="24"/>
        </w:rPr>
      </w:pPr>
      <w:r>
        <w:rPr>
          <w:rFonts w:hint="eastAsia" w:ascii="宋体" w:hAnsi="宋体" w:cs="宋体"/>
          <w:sz w:val="24"/>
        </w:rPr>
        <w:t>（五）报价为唯一固定价且未超过报价限价。</w:t>
      </w:r>
    </w:p>
    <w:p>
      <w:pPr>
        <w:spacing w:line="560" w:lineRule="exact"/>
        <w:ind w:firstLine="480" w:firstLineChars="200"/>
        <w:rPr>
          <w:rFonts w:hint="eastAsia" w:ascii="宋体" w:hAnsi="宋体" w:eastAsia="宋体" w:cs="宋体"/>
          <w:sz w:val="24"/>
          <w:lang w:val="zh-CN" w:eastAsia="zh-CN"/>
        </w:rPr>
      </w:pPr>
      <w:r>
        <w:rPr>
          <w:rFonts w:hint="eastAsia" w:ascii="宋体" w:hAnsi="宋体" w:cs="宋体"/>
          <w:sz w:val="24"/>
          <w:lang w:val="zh-CN"/>
        </w:rPr>
        <w:t>（六）</w:t>
      </w:r>
      <w:r>
        <w:rPr>
          <w:rFonts w:hint="eastAsia" w:ascii="宋体" w:hAnsi="宋体" w:cs="宋体"/>
          <w:sz w:val="24"/>
        </w:rPr>
        <w:t>参评</w:t>
      </w:r>
      <w:r>
        <w:rPr>
          <w:rFonts w:hint="eastAsia" w:ascii="宋体" w:hAnsi="宋体" w:cs="宋体"/>
          <w:spacing w:val="20"/>
          <w:sz w:val="24"/>
        </w:rPr>
        <w:t>供应</w:t>
      </w:r>
      <w:r>
        <w:rPr>
          <w:rFonts w:hint="eastAsia" w:ascii="宋体" w:hAnsi="宋体" w:cs="宋体"/>
          <w:sz w:val="24"/>
        </w:rPr>
        <w:t>商</w:t>
      </w:r>
      <w:r>
        <w:rPr>
          <w:rFonts w:hint="eastAsia" w:ascii="宋体" w:hAnsi="宋体" w:cs="宋体"/>
          <w:sz w:val="24"/>
          <w:lang w:val="zh-CN"/>
        </w:rPr>
        <w:t>具有所投</w:t>
      </w:r>
      <w:r>
        <w:rPr>
          <w:rFonts w:hint="eastAsia" w:ascii="宋体" w:hAnsi="宋体" w:cs="宋体"/>
          <w:sz w:val="24"/>
          <w:lang w:val="en-US" w:eastAsia="zh-CN"/>
        </w:rPr>
        <w:t>产品</w:t>
      </w:r>
      <w:r>
        <w:rPr>
          <w:rFonts w:hint="eastAsia" w:ascii="宋体" w:hAnsi="宋体" w:cs="宋体"/>
          <w:sz w:val="24"/>
          <w:lang w:val="zh-CN"/>
        </w:rPr>
        <w:t>合法的生产或销售（代理）经营权，</w:t>
      </w:r>
      <w:r>
        <w:rPr>
          <w:rFonts w:hint="eastAsia" w:ascii="宋体" w:hAnsi="宋体" w:eastAsia="宋体" w:cs="宋体"/>
          <w:sz w:val="24"/>
          <w:lang w:val="en-US" w:eastAsia="zh-CN"/>
        </w:rPr>
        <w:t>经营范围包括</w:t>
      </w:r>
      <w:r>
        <w:rPr>
          <w:rFonts w:hint="eastAsia" w:ascii="宋体" w:hAnsi="宋体" w:eastAsia="宋体" w:cs="宋体"/>
          <w:sz w:val="24"/>
          <w:lang w:val="zh-CN"/>
        </w:rPr>
        <w:t>工程建设</w:t>
      </w:r>
      <w:r>
        <w:rPr>
          <w:rFonts w:hint="eastAsia" w:ascii="宋体" w:hAnsi="宋体" w:eastAsia="宋体" w:cs="宋体"/>
          <w:sz w:val="24"/>
          <w:lang w:val="zh-CN" w:eastAsia="zh-CN"/>
        </w:rPr>
        <w:t>、</w:t>
      </w:r>
      <w:r>
        <w:rPr>
          <w:rFonts w:hint="eastAsia" w:ascii="宋体" w:hAnsi="宋体" w:eastAsia="宋体" w:cs="宋体"/>
          <w:sz w:val="24"/>
          <w:lang w:val="en-US" w:eastAsia="zh-CN"/>
        </w:rPr>
        <w:t>监控安防、</w:t>
      </w:r>
      <w:r>
        <w:rPr>
          <w:rFonts w:hint="eastAsia" w:ascii="宋体" w:hAnsi="宋体" w:eastAsia="宋体" w:cs="宋体"/>
          <w:sz w:val="24"/>
          <w:lang w:val="zh-CN"/>
        </w:rPr>
        <w:t>信息技术</w:t>
      </w:r>
      <w:r>
        <w:rPr>
          <w:rFonts w:hint="eastAsia" w:ascii="宋体" w:hAnsi="宋体" w:eastAsia="宋体" w:cs="宋体"/>
          <w:sz w:val="24"/>
          <w:lang w:val="zh-CN" w:eastAsia="zh-CN"/>
        </w:rPr>
        <w:t>、</w:t>
      </w:r>
      <w:r>
        <w:rPr>
          <w:rFonts w:hint="eastAsia" w:ascii="宋体" w:hAnsi="宋体" w:eastAsia="宋体" w:cs="宋体"/>
          <w:sz w:val="24"/>
          <w:lang w:val="zh-CN"/>
        </w:rPr>
        <w:t>计算机网络</w:t>
      </w:r>
      <w:r>
        <w:rPr>
          <w:rFonts w:hint="eastAsia" w:ascii="宋体" w:hAnsi="宋体" w:eastAsia="宋体" w:cs="宋体"/>
          <w:sz w:val="24"/>
          <w:lang w:val="en-US" w:eastAsia="zh-CN"/>
        </w:rPr>
        <w:t>或信息系统集成等相关</w:t>
      </w:r>
      <w:r>
        <w:rPr>
          <w:rFonts w:hint="eastAsia" w:ascii="宋体" w:hAnsi="宋体" w:eastAsia="宋体" w:cs="宋体"/>
          <w:sz w:val="24"/>
          <w:lang w:val="zh-CN"/>
        </w:rPr>
        <w:t>经营</w:t>
      </w:r>
      <w:r>
        <w:rPr>
          <w:rFonts w:hint="eastAsia" w:ascii="宋体" w:hAnsi="宋体" w:eastAsia="宋体" w:cs="宋体"/>
          <w:sz w:val="24"/>
          <w:lang w:val="en-US" w:eastAsia="zh-CN"/>
        </w:rPr>
        <w:t>范围</w:t>
      </w:r>
      <w:r>
        <w:rPr>
          <w:rFonts w:hint="eastAsia" w:ascii="宋体" w:hAnsi="宋体" w:eastAsia="宋体" w:cs="宋体"/>
          <w:sz w:val="24"/>
          <w:lang w:val="zh-CN"/>
        </w:rPr>
        <w:t>。</w:t>
      </w:r>
      <w:r>
        <w:rPr>
          <w:rFonts w:hint="eastAsia" w:ascii="宋体" w:hAnsi="宋体" w:cs="宋体"/>
          <w:sz w:val="24"/>
          <w:lang w:val="zh-CN"/>
        </w:rPr>
        <w:t>（以企业法人营业执照上的经营范围内容为准，如营业执照未显示经营范围，则须另外提供国家企业信用信息公示系统网站打印含有经营范围的企业基本资料证明）</w:t>
      </w:r>
      <w:r>
        <w:rPr>
          <w:rFonts w:hint="eastAsia" w:ascii="宋体" w:hAnsi="宋体" w:cs="宋体"/>
          <w:sz w:val="24"/>
          <w:lang w:val="en-US" w:eastAsia="zh-CN"/>
        </w:rPr>
        <w:t>。</w:t>
      </w:r>
    </w:p>
    <w:p>
      <w:pPr>
        <w:spacing w:line="560" w:lineRule="exact"/>
        <w:ind w:firstLine="480" w:firstLineChars="200"/>
        <w:rPr>
          <w:rFonts w:ascii="宋体" w:hAnsi="宋体" w:cs="宋体"/>
          <w:sz w:val="24"/>
        </w:rPr>
      </w:pPr>
      <w:r>
        <w:rPr>
          <w:rFonts w:hint="eastAsia" w:ascii="宋体" w:hAnsi="宋体" w:cs="宋体"/>
          <w:sz w:val="24"/>
        </w:rPr>
        <w:t>（七）所投品牌需要厂家出具产品彩页及对应检验报告复印件，加盖厂家公章（原件）。</w:t>
      </w:r>
    </w:p>
    <w:p>
      <w:pPr>
        <w:spacing w:line="560" w:lineRule="exact"/>
        <w:ind w:firstLine="480" w:firstLineChars="200"/>
        <w:rPr>
          <w:rFonts w:ascii="宋体" w:hAnsi="宋体" w:cs="宋体"/>
          <w:sz w:val="24"/>
        </w:rPr>
      </w:pPr>
      <w:r>
        <w:rPr>
          <w:rFonts w:hint="eastAsia" w:ascii="宋体" w:hAnsi="宋体" w:cs="宋体"/>
          <w:sz w:val="24"/>
        </w:rPr>
        <w:t>（八）所投产品涉及的提供公安部检测机构出具的检测报告复印件证明，加盖所投品牌厂商公章。</w:t>
      </w:r>
    </w:p>
    <w:p>
      <w:pPr>
        <w:spacing w:line="560" w:lineRule="exact"/>
        <w:ind w:firstLine="482" w:firstLineChars="200"/>
        <w:rPr>
          <w:rFonts w:ascii="宋体" w:hAnsi="宋体" w:cs="宋体"/>
          <w:b/>
          <w:bCs/>
          <w:sz w:val="24"/>
        </w:rPr>
      </w:pPr>
      <w:r>
        <w:rPr>
          <w:rFonts w:hint="eastAsia" w:ascii="宋体" w:hAnsi="宋体" w:cs="宋体"/>
          <w:b/>
          <w:bCs/>
          <w:sz w:val="24"/>
        </w:rPr>
        <w:t>六、获取公开</w:t>
      </w:r>
      <w:r>
        <w:rPr>
          <w:rFonts w:hint="eastAsia" w:ascii="宋体" w:hAnsi="宋体" w:cs="宋体"/>
          <w:b/>
          <w:bCs/>
          <w:sz w:val="24"/>
          <w:lang w:val="en-US" w:eastAsia="zh-CN"/>
        </w:rPr>
        <w:t>询价</w:t>
      </w:r>
      <w:r>
        <w:rPr>
          <w:rFonts w:hint="eastAsia" w:ascii="宋体" w:hAnsi="宋体" w:cs="宋体"/>
          <w:b/>
          <w:bCs/>
          <w:sz w:val="24"/>
        </w:rPr>
        <w:t>文件</w:t>
      </w:r>
    </w:p>
    <w:p>
      <w:pPr>
        <w:spacing w:line="560" w:lineRule="exact"/>
        <w:ind w:firstLine="480" w:firstLineChars="200"/>
        <w:rPr>
          <w:rFonts w:ascii="宋体" w:hAnsi="宋体" w:cs="宋体"/>
          <w:sz w:val="24"/>
        </w:rPr>
      </w:pPr>
      <w:r>
        <w:rPr>
          <w:rFonts w:hint="eastAsia" w:ascii="宋体" w:hAnsi="宋体" w:cs="宋体"/>
          <w:sz w:val="24"/>
        </w:rPr>
        <w:t>（一）本项目的采购公告信息在采购人官方媒体（https://www.zsbus.cn/）上公布，并视为有效送达，不再另行通知。</w:t>
      </w:r>
    </w:p>
    <w:p>
      <w:pPr>
        <w:spacing w:line="560" w:lineRule="exact"/>
        <w:ind w:firstLine="480" w:firstLineChars="200"/>
        <w:rPr>
          <w:rFonts w:ascii="宋体" w:hAnsi="宋体" w:cs="宋体"/>
          <w:sz w:val="24"/>
        </w:rPr>
      </w:pPr>
      <w:r>
        <w:rPr>
          <w:rFonts w:hint="eastAsia" w:ascii="宋体" w:hAnsi="宋体" w:cs="宋体"/>
          <w:sz w:val="24"/>
        </w:rPr>
        <w:t>（二）符合资格的</w:t>
      </w:r>
      <w:r>
        <w:rPr>
          <w:rFonts w:hint="eastAsia" w:ascii="宋体" w:hAnsi="宋体" w:cs="宋体"/>
          <w:sz w:val="24"/>
          <w:lang w:val="en-US" w:eastAsia="zh-CN"/>
        </w:rPr>
        <w:t>供应</w:t>
      </w:r>
      <w:r>
        <w:rPr>
          <w:rFonts w:hint="eastAsia" w:ascii="宋体" w:hAnsi="宋体" w:cs="宋体"/>
          <w:sz w:val="24"/>
        </w:rPr>
        <w:t>商自行在有关公告网站下载</w:t>
      </w:r>
      <w:r>
        <w:rPr>
          <w:rFonts w:hint="eastAsia" w:ascii="宋体" w:hAnsi="宋体" w:cs="宋体"/>
          <w:sz w:val="24"/>
          <w:lang w:val="en-US" w:eastAsia="zh-CN"/>
        </w:rPr>
        <w:t>询价</w:t>
      </w:r>
      <w:r>
        <w:rPr>
          <w:rFonts w:hint="eastAsia" w:ascii="宋体" w:hAnsi="宋体" w:cs="宋体"/>
          <w:sz w:val="24"/>
        </w:rPr>
        <w:t>文件。</w:t>
      </w:r>
    </w:p>
    <w:p>
      <w:pPr>
        <w:spacing w:line="560" w:lineRule="exact"/>
        <w:ind w:firstLine="480" w:firstLineChars="200"/>
        <w:rPr>
          <w:rFonts w:ascii="宋体" w:hAnsi="宋体" w:cs="宋体"/>
          <w:sz w:val="24"/>
        </w:rPr>
      </w:pPr>
      <w:r>
        <w:rPr>
          <w:rFonts w:hint="eastAsia" w:ascii="宋体" w:hAnsi="宋体" w:cs="宋体"/>
          <w:sz w:val="24"/>
        </w:rPr>
        <w:t>（三）</w:t>
      </w:r>
      <w:r>
        <w:rPr>
          <w:rFonts w:hint="eastAsia" w:ascii="宋体" w:hAnsi="宋体" w:cs="宋体"/>
          <w:sz w:val="24"/>
          <w:lang w:val="en-US" w:eastAsia="zh-CN"/>
        </w:rPr>
        <w:t>询价</w:t>
      </w:r>
      <w:r>
        <w:rPr>
          <w:rFonts w:hint="eastAsia" w:ascii="宋体" w:hAnsi="宋体" w:cs="宋体"/>
          <w:sz w:val="24"/>
        </w:rPr>
        <w:t>文件下载时间：自本项目公告发布之日起至2024年3月</w:t>
      </w:r>
      <w:r>
        <w:rPr>
          <w:rFonts w:hint="eastAsia" w:ascii="宋体" w:hAnsi="宋体" w:cs="宋体"/>
          <w:color w:val="auto"/>
          <w:sz w:val="24"/>
          <w:highlight w:val="none"/>
          <w:lang w:val="en-US" w:eastAsia="zh-CN"/>
        </w:rPr>
        <w:t>13</w:t>
      </w:r>
      <w:r>
        <w:rPr>
          <w:rFonts w:hint="eastAsia" w:ascii="宋体" w:hAnsi="宋体" w:cs="宋体"/>
          <w:sz w:val="24"/>
        </w:rPr>
        <w:t>日18:00。</w:t>
      </w:r>
    </w:p>
    <w:p>
      <w:pPr>
        <w:spacing w:line="560" w:lineRule="exact"/>
        <w:ind w:firstLine="482" w:firstLineChars="200"/>
        <w:rPr>
          <w:rFonts w:ascii="宋体" w:hAnsi="宋体" w:cs="宋体"/>
          <w:b/>
          <w:bCs/>
          <w:sz w:val="24"/>
        </w:rPr>
      </w:pPr>
      <w:r>
        <w:rPr>
          <w:rFonts w:hint="eastAsia" w:ascii="宋体" w:hAnsi="宋体" w:cs="宋体"/>
          <w:b/>
          <w:bCs/>
          <w:sz w:val="24"/>
        </w:rPr>
        <w:t>七、报名要求</w:t>
      </w:r>
    </w:p>
    <w:p>
      <w:pPr>
        <w:spacing w:line="560" w:lineRule="exact"/>
        <w:ind w:firstLine="480" w:firstLineChars="200"/>
        <w:rPr>
          <w:rFonts w:hint="eastAsia" w:ascii="宋体" w:hAnsi="宋体" w:cs="宋体"/>
          <w:sz w:val="24"/>
        </w:rPr>
      </w:pPr>
      <w:r>
        <w:rPr>
          <w:rFonts w:hint="eastAsia" w:ascii="宋体" w:hAnsi="宋体" w:cs="宋体"/>
          <w:sz w:val="24"/>
        </w:rPr>
        <w:t>（一）报名方式：</w:t>
      </w:r>
      <w:r>
        <w:rPr>
          <w:rFonts w:hint="eastAsia" w:ascii="宋体" w:hAnsi="宋体" w:cs="宋体"/>
          <w:sz w:val="24"/>
          <w:lang w:val="en-US" w:eastAsia="zh-CN"/>
        </w:rPr>
        <w:t>供应</w:t>
      </w:r>
      <w:r>
        <w:rPr>
          <w:rFonts w:hint="eastAsia" w:ascii="宋体" w:hAnsi="宋体" w:cs="宋体"/>
          <w:sz w:val="24"/>
        </w:rPr>
        <w:t>商自行获取</w:t>
      </w:r>
      <w:r>
        <w:rPr>
          <w:rFonts w:hint="eastAsia" w:ascii="宋体" w:hAnsi="宋体" w:cs="宋体"/>
          <w:sz w:val="24"/>
          <w:lang w:val="en-US" w:eastAsia="zh-CN"/>
        </w:rPr>
        <w:t>询价</w:t>
      </w:r>
      <w:r>
        <w:rPr>
          <w:rFonts w:hint="eastAsia" w:ascii="宋体" w:hAnsi="宋体" w:cs="宋体"/>
          <w:sz w:val="24"/>
        </w:rPr>
        <w:t>文件后，需在报名时间截止前提交一份参评文件，参评文件格式要求详见第四部分《参评文件格式》；</w:t>
      </w:r>
    </w:p>
    <w:p>
      <w:pPr>
        <w:spacing w:line="560" w:lineRule="exact"/>
        <w:ind w:firstLine="480" w:firstLineChars="200"/>
        <w:rPr>
          <w:rFonts w:hint="eastAsia" w:ascii="宋体" w:hAnsi="宋体" w:cs="宋体"/>
          <w:sz w:val="24"/>
        </w:rPr>
      </w:pPr>
      <w:r>
        <w:rPr>
          <w:rFonts w:hint="eastAsia" w:ascii="宋体" w:hAnsi="宋体" w:cs="宋体"/>
          <w:sz w:val="24"/>
        </w:rPr>
        <w:t>（二）报名时间：自本项目公告发布之日起至2024年3月</w:t>
      </w:r>
      <w:r>
        <w:rPr>
          <w:rFonts w:hint="eastAsia" w:ascii="宋体" w:hAnsi="宋体" w:cs="宋体"/>
          <w:sz w:val="24"/>
          <w:highlight w:val="none"/>
          <w:lang w:val="en-US" w:eastAsia="zh-CN"/>
        </w:rPr>
        <w:t>13</w:t>
      </w:r>
      <w:r>
        <w:rPr>
          <w:rFonts w:hint="eastAsia" w:ascii="宋体" w:hAnsi="宋体" w:cs="宋体"/>
          <w:sz w:val="24"/>
        </w:rPr>
        <w:t>日18:00，超时不接受任何供应商报名。（以采购人收到参评文件时间为准）。</w:t>
      </w:r>
    </w:p>
    <w:p>
      <w:pPr>
        <w:spacing w:line="560" w:lineRule="exact"/>
        <w:ind w:firstLine="480" w:firstLineChars="200"/>
        <w:rPr>
          <w:rFonts w:ascii="宋体" w:hAnsi="宋体" w:cs="宋体"/>
          <w:sz w:val="24"/>
        </w:rPr>
      </w:pPr>
      <w:r>
        <w:rPr>
          <w:rFonts w:hint="eastAsia" w:ascii="宋体" w:hAnsi="宋体" w:cs="宋体"/>
          <w:sz w:val="24"/>
        </w:rPr>
        <w:t>（三）</w:t>
      </w:r>
      <w:r>
        <w:rPr>
          <w:rFonts w:hint="default" w:ascii="宋体" w:hAnsi="宋体" w:cs="宋体"/>
          <w:sz w:val="24"/>
          <w:lang w:val="en-US"/>
        </w:rPr>
        <w:t>供应</w:t>
      </w:r>
      <w:r>
        <w:rPr>
          <w:rFonts w:hint="eastAsia" w:ascii="宋体" w:hAnsi="宋体" w:cs="宋体"/>
          <w:sz w:val="24"/>
        </w:rPr>
        <w:t>商应在参评文件递交时间截止前提交一份参评文件，参评文件格式要求详见第四部分《参评文件格式》。</w:t>
      </w:r>
    </w:p>
    <w:p>
      <w:pPr>
        <w:spacing w:line="560" w:lineRule="exact"/>
        <w:ind w:firstLine="480" w:firstLineChars="200"/>
        <w:rPr>
          <w:rFonts w:ascii="宋体" w:hAnsi="宋体" w:cs="宋体"/>
          <w:sz w:val="24"/>
        </w:rPr>
      </w:pPr>
      <w:r>
        <w:rPr>
          <w:rFonts w:hint="eastAsia" w:ascii="宋体" w:hAnsi="宋体" w:cs="宋体"/>
          <w:sz w:val="24"/>
        </w:rPr>
        <w:t>（四）参评文件递交或邮寄地址：广东省中山市南区城南三路中山公交集团</w:t>
      </w:r>
      <w:r>
        <w:rPr>
          <w:rFonts w:hint="default" w:ascii="宋体" w:hAnsi="宋体" w:cs="宋体"/>
          <w:sz w:val="24"/>
          <w:lang w:val="en-US"/>
        </w:rPr>
        <w:t>308室</w:t>
      </w:r>
      <w:r>
        <w:rPr>
          <w:rFonts w:hint="eastAsia" w:ascii="宋体" w:hAnsi="宋体" w:cs="宋体"/>
          <w:sz w:val="24"/>
        </w:rPr>
        <w:t>吴先生（</w:t>
      </w:r>
      <w:r>
        <w:rPr>
          <w:rFonts w:ascii="宋体" w:hAnsi="宋体" w:cs="宋体"/>
          <w:sz w:val="24"/>
        </w:rPr>
        <w:t>13790729230</w:t>
      </w:r>
      <w:r>
        <w:rPr>
          <w:rFonts w:hint="eastAsia" w:ascii="宋体" w:hAnsi="宋体" w:cs="宋体"/>
          <w:sz w:val="24"/>
        </w:rPr>
        <w:t>）收。</w:t>
      </w:r>
    </w:p>
    <w:p>
      <w:pPr>
        <w:spacing w:line="560" w:lineRule="exact"/>
        <w:ind w:firstLine="482" w:firstLineChars="200"/>
        <w:rPr>
          <w:rFonts w:ascii="宋体" w:hAnsi="宋体" w:cs="宋体"/>
          <w:b/>
          <w:bCs/>
          <w:sz w:val="24"/>
        </w:rPr>
      </w:pPr>
      <w:r>
        <w:rPr>
          <w:rFonts w:hint="eastAsia" w:ascii="宋体" w:hAnsi="宋体" w:cs="宋体"/>
          <w:b/>
          <w:bCs/>
          <w:sz w:val="24"/>
        </w:rPr>
        <w:t>八、项目评审</w:t>
      </w:r>
    </w:p>
    <w:p>
      <w:pPr>
        <w:spacing w:line="560" w:lineRule="exact"/>
        <w:ind w:firstLine="480" w:firstLineChars="200"/>
        <w:rPr>
          <w:rFonts w:ascii="宋体" w:hAnsi="宋体" w:cs="宋体"/>
          <w:sz w:val="24"/>
        </w:rPr>
      </w:pPr>
      <w:r>
        <w:rPr>
          <w:rFonts w:hint="eastAsia" w:ascii="宋体" w:hAnsi="宋体" w:cs="宋体"/>
          <w:sz w:val="24"/>
        </w:rPr>
        <w:t>（一）评审时间：2024年3月</w:t>
      </w:r>
      <w:r>
        <w:rPr>
          <w:rFonts w:hint="eastAsia" w:ascii="宋体" w:hAnsi="宋体" w:cs="宋体"/>
          <w:sz w:val="24"/>
          <w:lang w:val="en-US" w:eastAsia="zh-CN"/>
        </w:rPr>
        <w:t>14</w:t>
      </w:r>
      <w:r>
        <w:rPr>
          <w:rFonts w:hint="eastAsia" w:ascii="宋体" w:hAnsi="宋体" w:cs="宋体"/>
          <w:sz w:val="24"/>
        </w:rPr>
        <w:t>日9:00。</w:t>
      </w:r>
    </w:p>
    <w:p>
      <w:pPr>
        <w:spacing w:line="560" w:lineRule="exact"/>
        <w:ind w:firstLine="480" w:firstLineChars="200"/>
        <w:rPr>
          <w:rFonts w:ascii="宋体" w:hAnsi="宋体" w:cs="宋体"/>
          <w:sz w:val="24"/>
        </w:rPr>
      </w:pPr>
      <w:r>
        <w:rPr>
          <w:rFonts w:hint="eastAsia" w:ascii="宋体" w:hAnsi="宋体" w:cs="宋体"/>
          <w:sz w:val="24"/>
        </w:rPr>
        <w:t>（二）评审地点：中山公交集团城南办公楼会议室，评审时</w:t>
      </w:r>
      <w:r>
        <w:rPr>
          <w:rFonts w:hint="default" w:ascii="宋体" w:hAnsi="宋体" w:cs="宋体"/>
          <w:sz w:val="24"/>
          <w:lang w:val="en-US"/>
        </w:rPr>
        <w:t>供应</w:t>
      </w:r>
      <w:r>
        <w:rPr>
          <w:rFonts w:hint="eastAsia" w:ascii="宋体" w:hAnsi="宋体" w:cs="宋体"/>
          <w:sz w:val="24"/>
        </w:rPr>
        <w:t>商无需到场参加。</w:t>
      </w:r>
    </w:p>
    <w:p>
      <w:pPr>
        <w:spacing w:line="560" w:lineRule="exact"/>
        <w:ind w:firstLine="482" w:firstLineChars="200"/>
        <w:rPr>
          <w:rFonts w:ascii="宋体" w:hAnsi="宋体" w:cs="宋体"/>
          <w:b/>
          <w:bCs/>
          <w:sz w:val="24"/>
        </w:rPr>
      </w:pPr>
      <w:r>
        <w:rPr>
          <w:rFonts w:hint="eastAsia" w:ascii="宋体" w:hAnsi="宋体" w:cs="宋体"/>
          <w:b/>
          <w:bCs/>
          <w:sz w:val="24"/>
          <w:lang w:val="en-US" w:eastAsia="zh-CN"/>
        </w:rPr>
        <w:t>九</w:t>
      </w:r>
      <w:r>
        <w:rPr>
          <w:rFonts w:hint="eastAsia" w:ascii="宋体" w:hAnsi="宋体" w:cs="宋体"/>
          <w:b/>
          <w:bCs/>
          <w:sz w:val="24"/>
        </w:rPr>
        <w:t>、评审结果公示</w:t>
      </w:r>
    </w:p>
    <w:p>
      <w:pPr>
        <w:spacing w:line="560" w:lineRule="exact"/>
        <w:ind w:firstLine="480" w:firstLineChars="200"/>
        <w:rPr>
          <w:rFonts w:ascii="宋体" w:hAnsi="宋体" w:cs="宋体"/>
          <w:b/>
          <w:bCs/>
          <w:sz w:val="24"/>
        </w:rPr>
      </w:pPr>
      <w:r>
        <w:rPr>
          <w:rFonts w:hint="eastAsia" w:ascii="宋体" w:hAnsi="宋体" w:cs="宋体"/>
          <w:sz w:val="24"/>
        </w:rPr>
        <w:t>评审结束后，采购人将在采购人官方媒体（https://www.zsbus.cn/）上进行结果公示，公示期2日。如果参评</w:t>
      </w:r>
      <w:r>
        <w:rPr>
          <w:rFonts w:hint="eastAsia" w:ascii="宋体" w:hAnsi="宋体" w:cs="宋体"/>
          <w:sz w:val="24"/>
          <w:lang w:val="en-US" w:eastAsia="zh-CN"/>
        </w:rPr>
        <w:t>供应</w:t>
      </w:r>
      <w:r>
        <w:rPr>
          <w:rFonts w:hint="eastAsia" w:ascii="宋体" w:hAnsi="宋体" w:cs="宋体"/>
          <w:sz w:val="24"/>
        </w:rPr>
        <w:t>商对此次评审结果有异议的，可在公示期内向采购人书面提出，但需对</w:t>
      </w:r>
      <w:r>
        <w:rPr>
          <w:rFonts w:hint="eastAsia" w:ascii="宋体" w:hAnsi="宋体" w:cs="宋体"/>
          <w:b/>
          <w:bCs/>
          <w:sz w:val="24"/>
        </w:rPr>
        <w:t>异议内容的真实性承担责任</w:t>
      </w:r>
      <w:r>
        <w:rPr>
          <w:rFonts w:hint="eastAsia" w:ascii="宋体" w:hAnsi="宋体" w:cs="宋体"/>
          <w:sz w:val="24"/>
        </w:rPr>
        <w:t>。采购人应自收到书面异议原件之日起2日内作出答复并在答复前暂停本项目评选活动。</w:t>
      </w:r>
    </w:p>
    <w:p>
      <w:pPr>
        <w:spacing w:line="560" w:lineRule="exact"/>
        <w:ind w:firstLine="482" w:firstLineChars="200"/>
        <w:rPr>
          <w:rFonts w:ascii="宋体" w:hAnsi="宋体" w:cs="宋体"/>
          <w:b/>
          <w:bCs/>
          <w:sz w:val="24"/>
        </w:rPr>
      </w:pPr>
      <w:r>
        <w:rPr>
          <w:rFonts w:hint="eastAsia" w:ascii="宋体" w:hAnsi="宋体" w:cs="宋体"/>
          <w:b/>
          <w:bCs/>
          <w:sz w:val="24"/>
        </w:rPr>
        <w:t>十、采购人及采购人联系方式</w:t>
      </w:r>
    </w:p>
    <w:p>
      <w:pPr>
        <w:spacing w:line="560" w:lineRule="exact"/>
        <w:ind w:firstLine="480" w:firstLineChars="200"/>
        <w:rPr>
          <w:rFonts w:ascii="宋体" w:hAnsi="宋体" w:cs="宋体"/>
          <w:sz w:val="24"/>
        </w:rPr>
      </w:pPr>
      <w:r>
        <w:rPr>
          <w:rFonts w:hint="eastAsia" w:ascii="宋体" w:hAnsi="宋体" w:cs="宋体"/>
          <w:sz w:val="24"/>
        </w:rPr>
        <w:t xml:space="preserve">（一）联系人及联系电话：吴先生 </w:t>
      </w:r>
      <w:r>
        <w:rPr>
          <w:rFonts w:ascii="宋体" w:hAnsi="宋体" w:cs="宋体"/>
          <w:sz w:val="24"/>
        </w:rPr>
        <w:t>13790729230</w:t>
      </w:r>
    </w:p>
    <w:p>
      <w:pPr>
        <w:spacing w:line="560" w:lineRule="exact"/>
        <w:ind w:firstLine="480" w:firstLineChars="200"/>
        <w:rPr>
          <w:rFonts w:ascii="宋体" w:hAnsi="宋体" w:cs="宋体"/>
          <w:sz w:val="24"/>
        </w:rPr>
      </w:pPr>
      <w:r>
        <w:rPr>
          <w:rFonts w:hint="eastAsia" w:ascii="宋体" w:hAnsi="宋体" w:cs="宋体"/>
          <w:sz w:val="24"/>
        </w:rPr>
        <w:t>（二）联系地址：中山市南区城南三路中山公交集团三楼30</w:t>
      </w:r>
      <w:r>
        <w:rPr>
          <w:rFonts w:ascii="宋体" w:hAnsi="宋体" w:cs="宋体"/>
          <w:sz w:val="24"/>
        </w:rPr>
        <w:t>8</w:t>
      </w:r>
      <w:r>
        <w:rPr>
          <w:rFonts w:hint="eastAsia" w:ascii="宋体" w:hAnsi="宋体" w:cs="宋体"/>
          <w:sz w:val="24"/>
        </w:rPr>
        <w:t>室</w:t>
      </w:r>
    </w:p>
    <w:p/>
    <w:p>
      <w:pPr>
        <w:pStyle w:val="16"/>
        <w:adjustRightInd w:val="0"/>
        <w:snapToGrid w:val="0"/>
        <w:spacing w:line="560" w:lineRule="exact"/>
        <w:jc w:val="center"/>
        <w:outlineLvl w:val="0"/>
        <w:rPr>
          <w:rFonts w:hint="eastAsia" w:hAnsi="宋体" w:cs="宋体"/>
          <w:b/>
          <w:kern w:val="28"/>
          <w:sz w:val="44"/>
          <w:szCs w:val="44"/>
        </w:rPr>
      </w:pPr>
    </w:p>
    <w:p>
      <w:pPr>
        <w:pStyle w:val="16"/>
        <w:adjustRightInd w:val="0"/>
        <w:snapToGrid w:val="0"/>
        <w:spacing w:line="560" w:lineRule="exact"/>
        <w:jc w:val="right"/>
        <w:outlineLvl w:val="0"/>
        <w:rPr>
          <w:rFonts w:hint="eastAsia" w:hAnsi="宋体" w:cs="宋体"/>
          <w:b w:val="0"/>
          <w:kern w:val="2"/>
          <w:sz w:val="24"/>
          <w:szCs w:val="24"/>
          <w:lang w:val="en-US" w:eastAsia="zh-CN"/>
        </w:rPr>
      </w:pPr>
      <w:r>
        <w:rPr>
          <w:rFonts w:hint="eastAsia" w:hAnsi="宋体" w:cs="宋体"/>
          <w:b w:val="0"/>
          <w:kern w:val="2"/>
          <w:sz w:val="24"/>
          <w:szCs w:val="24"/>
          <w:lang w:val="en-US" w:eastAsia="zh-CN"/>
        </w:rPr>
        <w:t>中山市公共交通运输集团有限公司</w:t>
      </w:r>
    </w:p>
    <w:p>
      <w:pPr>
        <w:pStyle w:val="16"/>
        <w:adjustRightInd w:val="0"/>
        <w:snapToGrid w:val="0"/>
        <w:spacing w:line="560" w:lineRule="exact"/>
        <w:jc w:val="center"/>
        <w:outlineLvl w:val="0"/>
        <w:rPr>
          <w:rFonts w:hAnsi="宋体" w:cs="宋体"/>
          <w:sz w:val="44"/>
          <w:szCs w:val="44"/>
        </w:rPr>
      </w:pPr>
      <w:r>
        <w:rPr>
          <w:rFonts w:hint="eastAsia" w:hAnsi="宋体" w:cs="宋体"/>
          <w:b w:val="0"/>
          <w:kern w:val="2"/>
          <w:sz w:val="24"/>
          <w:szCs w:val="24"/>
          <w:lang w:val="en-US" w:eastAsia="zh-CN"/>
        </w:rPr>
        <w:t xml:space="preserve">                                               2024年3月7日</w:t>
      </w:r>
      <w:r>
        <w:rPr>
          <w:rFonts w:hint="eastAsia" w:hAnsi="宋体" w:cs="宋体"/>
          <w:b/>
          <w:kern w:val="28"/>
          <w:sz w:val="44"/>
          <w:szCs w:val="44"/>
        </w:rPr>
        <w:br w:type="page"/>
      </w:r>
      <w:r>
        <w:rPr>
          <w:rFonts w:hint="eastAsia" w:hAnsi="宋体" w:cs="宋体"/>
          <w:b/>
          <w:kern w:val="28"/>
          <w:sz w:val="44"/>
          <w:szCs w:val="44"/>
        </w:rPr>
        <w:t>第二部分  用户需求书</w:t>
      </w:r>
      <w:bookmarkEnd w:id="3"/>
    </w:p>
    <w:p>
      <w:pPr>
        <w:spacing w:line="560" w:lineRule="exact"/>
        <w:ind w:firstLine="500" w:firstLineChars="200"/>
        <w:jc w:val="left"/>
        <w:rPr>
          <w:rFonts w:ascii="宋体" w:hAnsi="宋体" w:cs="宋体"/>
          <w:spacing w:val="20"/>
          <w:szCs w:val="21"/>
        </w:rPr>
      </w:pPr>
    </w:p>
    <w:p>
      <w:pPr>
        <w:tabs>
          <w:tab w:val="left" w:pos="525"/>
          <w:tab w:val="left" w:pos="846"/>
        </w:tabs>
        <w:autoSpaceDE w:val="0"/>
        <w:autoSpaceDN w:val="0"/>
        <w:adjustRightInd w:val="0"/>
        <w:spacing w:before="120" w:beforeLines="50" w:line="560" w:lineRule="exact"/>
        <w:ind w:left="482"/>
        <w:outlineLvl w:val="1"/>
        <w:rPr>
          <w:rFonts w:ascii="宋体" w:hAnsi="宋体" w:cs="宋体"/>
          <w:b/>
          <w:bCs/>
          <w:sz w:val="24"/>
        </w:rPr>
      </w:pPr>
      <w:r>
        <w:rPr>
          <w:rFonts w:hint="eastAsia" w:ascii="宋体" w:hAnsi="宋体" w:cs="宋体"/>
          <w:b/>
          <w:bCs/>
          <w:sz w:val="24"/>
        </w:rPr>
        <w:t>一、总体要求</w:t>
      </w:r>
    </w:p>
    <w:p>
      <w:pPr>
        <w:spacing w:line="560" w:lineRule="exact"/>
        <w:ind w:firstLine="480" w:firstLineChars="200"/>
        <w:rPr>
          <w:rFonts w:ascii="宋体" w:hAnsi="宋体" w:cs="宋体"/>
          <w:bCs/>
          <w:sz w:val="24"/>
        </w:rPr>
      </w:pPr>
      <w:r>
        <w:rPr>
          <w:rFonts w:hint="eastAsia" w:ascii="宋体" w:hAnsi="宋体" w:cs="宋体"/>
          <w:bCs/>
          <w:sz w:val="24"/>
        </w:rPr>
        <w:t>（一）用户需求书中的服务指标仅为最低要求。</w:t>
      </w:r>
    </w:p>
    <w:p>
      <w:pPr>
        <w:spacing w:line="560" w:lineRule="exact"/>
        <w:ind w:firstLine="480" w:firstLineChars="200"/>
        <w:rPr>
          <w:rFonts w:ascii="宋体" w:hAnsi="宋体" w:cs="宋体"/>
          <w:bCs/>
          <w:sz w:val="24"/>
        </w:rPr>
      </w:pPr>
      <w:r>
        <w:rPr>
          <w:rFonts w:hint="eastAsia" w:ascii="宋体" w:hAnsi="宋体" w:cs="宋体"/>
          <w:bCs/>
          <w:sz w:val="24"/>
        </w:rPr>
        <w:t>（二）</w:t>
      </w:r>
      <w:r>
        <w:rPr>
          <w:rFonts w:hint="eastAsia" w:ascii="宋体" w:hAnsi="宋体" w:cs="宋体"/>
          <w:bCs/>
          <w:sz w:val="24"/>
          <w:lang w:val="en-US" w:eastAsia="zh-CN"/>
        </w:rPr>
        <w:t>供应</w:t>
      </w:r>
      <w:r>
        <w:rPr>
          <w:rFonts w:hint="eastAsia" w:ascii="宋体" w:hAnsi="宋体" w:cs="宋体"/>
          <w:bCs/>
          <w:sz w:val="24"/>
        </w:rPr>
        <w:t>商参与本项目报价评选即视为完全接受采购人设定的全部参数、配置、条款。</w:t>
      </w:r>
    </w:p>
    <w:p>
      <w:pPr>
        <w:spacing w:line="560" w:lineRule="exact"/>
        <w:ind w:firstLine="480" w:firstLineChars="200"/>
        <w:rPr>
          <w:rFonts w:ascii="宋体" w:hAnsi="宋体" w:cs="宋体"/>
          <w:bCs/>
          <w:sz w:val="24"/>
        </w:rPr>
      </w:pPr>
      <w:r>
        <w:rPr>
          <w:rFonts w:hint="eastAsia" w:ascii="宋体" w:hAnsi="宋体" w:cs="宋体"/>
          <w:bCs/>
          <w:sz w:val="24"/>
        </w:rPr>
        <w:t>（三）供应商承诺提供厂商原装、全新的、符合国家及采购人提出的有关质量标准的货物。</w:t>
      </w:r>
    </w:p>
    <w:p>
      <w:pPr>
        <w:spacing w:line="560" w:lineRule="exact"/>
        <w:ind w:firstLine="480" w:firstLineChars="200"/>
        <w:rPr>
          <w:rFonts w:ascii="宋体" w:hAnsi="宋体" w:cs="宋体"/>
          <w:bCs/>
          <w:sz w:val="24"/>
        </w:rPr>
      </w:pPr>
      <w:r>
        <w:rPr>
          <w:rFonts w:hint="eastAsia" w:ascii="宋体" w:hAnsi="宋体" w:cs="宋体"/>
          <w:bCs/>
          <w:sz w:val="24"/>
        </w:rPr>
        <w:t>（四）供应商应保证，采购人在中华人民共和国使用该</w:t>
      </w:r>
      <w:r>
        <w:rPr>
          <w:rFonts w:hint="eastAsia" w:ascii="宋体" w:hAnsi="宋体" w:cs="宋体"/>
          <w:bCs/>
          <w:sz w:val="24"/>
          <w:lang w:val="en-US" w:eastAsia="zh-CN"/>
        </w:rPr>
        <w:t>产品</w:t>
      </w:r>
      <w:r>
        <w:rPr>
          <w:rFonts w:hint="eastAsia" w:ascii="宋体" w:hAnsi="宋体" w:cs="宋体"/>
          <w:bCs/>
          <w:sz w:val="24"/>
        </w:rPr>
        <w:t>或</w:t>
      </w:r>
      <w:r>
        <w:rPr>
          <w:rFonts w:hint="eastAsia" w:ascii="宋体" w:hAnsi="宋体" w:cs="宋体"/>
          <w:bCs/>
          <w:sz w:val="24"/>
          <w:lang w:val="en-US" w:eastAsia="zh-CN"/>
        </w:rPr>
        <w:t>产品</w:t>
      </w:r>
      <w:r>
        <w:rPr>
          <w:rFonts w:hint="eastAsia" w:ascii="宋体" w:hAnsi="宋体" w:cs="宋体"/>
          <w:bCs/>
          <w:sz w:val="24"/>
        </w:rPr>
        <w:t>的任何一部分时，免受第三方提出的侵犯其专利权、商标权、著作权或其它知识产权</w:t>
      </w:r>
      <w:r>
        <w:rPr>
          <w:rFonts w:hint="eastAsia" w:ascii="宋体" w:hAnsi="宋体" w:cs="宋体"/>
          <w:bCs/>
          <w:sz w:val="24"/>
          <w:lang w:eastAsia="zh-CN"/>
        </w:rPr>
        <w:t>、</w:t>
      </w:r>
      <w:r>
        <w:rPr>
          <w:rFonts w:hint="eastAsia" w:ascii="宋体" w:hAnsi="宋体" w:cs="宋体"/>
          <w:bCs/>
          <w:sz w:val="24"/>
          <w:lang w:val="en-US" w:eastAsia="zh-CN"/>
        </w:rPr>
        <w:t>所有权等权利请求和</w:t>
      </w:r>
      <w:r>
        <w:rPr>
          <w:rFonts w:hint="eastAsia" w:ascii="宋体" w:hAnsi="宋体" w:cs="宋体"/>
          <w:bCs/>
          <w:sz w:val="24"/>
        </w:rPr>
        <w:t>起诉。</w:t>
      </w:r>
    </w:p>
    <w:p>
      <w:pPr>
        <w:spacing w:line="560" w:lineRule="exact"/>
        <w:ind w:firstLine="480" w:firstLineChars="200"/>
        <w:rPr>
          <w:rFonts w:ascii="宋体" w:hAnsi="宋体" w:cs="宋体"/>
          <w:bCs/>
          <w:sz w:val="24"/>
        </w:rPr>
      </w:pPr>
      <w:r>
        <w:rPr>
          <w:rFonts w:hint="eastAsia" w:ascii="宋体" w:hAnsi="宋体" w:cs="宋体"/>
          <w:bCs/>
          <w:sz w:val="24"/>
        </w:rPr>
        <w:t>（五）采购内容及需求：</w:t>
      </w:r>
    </w:p>
    <w:p>
      <w:pPr>
        <w:spacing w:line="560" w:lineRule="exact"/>
        <w:ind w:firstLine="480" w:firstLineChars="200"/>
        <w:rPr>
          <w:rFonts w:ascii="宋体" w:hAnsi="宋体" w:cs="宋体"/>
          <w:bCs/>
          <w:sz w:val="24"/>
        </w:rPr>
      </w:pPr>
      <w:r>
        <w:rPr>
          <w:rFonts w:hint="eastAsia" w:ascii="宋体" w:hAnsi="宋体" w:cs="宋体"/>
          <w:bCs/>
          <w:sz w:val="24"/>
        </w:rPr>
        <w:t>1</w:t>
      </w:r>
      <w:r>
        <w:rPr>
          <w:rFonts w:ascii="宋体" w:hAnsi="宋体" w:cs="宋体"/>
          <w:bCs/>
          <w:sz w:val="24"/>
        </w:rPr>
        <w:t>.</w:t>
      </w:r>
      <w:r>
        <w:rPr>
          <w:rFonts w:hint="eastAsia" w:ascii="宋体" w:hAnsi="宋体" w:cs="宋体"/>
          <w:bCs/>
          <w:sz w:val="24"/>
        </w:rPr>
        <w:t>采购1台行业品牌服务器作为视频管理服务器，用于综合安防管理平台的私有化部署应用。</w:t>
      </w:r>
      <w:bookmarkStart w:id="5" w:name="s-1"/>
      <w:bookmarkEnd w:id="5"/>
      <w:bookmarkStart w:id="6" w:name="s-2"/>
      <w:bookmarkEnd w:id="6"/>
    </w:p>
    <w:p>
      <w:pPr>
        <w:spacing w:line="560" w:lineRule="exact"/>
        <w:ind w:firstLine="480" w:firstLineChars="200"/>
        <w:rPr>
          <w:rFonts w:ascii="宋体" w:hAnsi="宋体" w:cs="宋体"/>
          <w:bCs/>
          <w:sz w:val="24"/>
        </w:rPr>
      </w:pPr>
      <w:r>
        <w:rPr>
          <w:rFonts w:hint="eastAsia" w:ascii="宋体" w:hAnsi="宋体" w:cs="宋体"/>
          <w:bCs/>
          <w:sz w:val="24"/>
        </w:rPr>
        <w:t>应用服务器主要参数要求：</w:t>
      </w:r>
    </w:p>
    <w:tbl>
      <w:tblPr>
        <w:tblStyle w:val="31"/>
        <w:tblW w:w="842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E8CF"/>
        <w:tblLayout w:type="fixed"/>
        <w:tblCellMar>
          <w:top w:w="0" w:type="dxa"/>
          <w:left w:w="108" w:type="dxa"/>
          <w:bottom w:w="0" w:type="dxa"/>
          <w:right w:w="108" w:type="dxa"/>
        </w:tblCellMar>
      </w:tblPr>
      <w:tblGrid>
        <w:gridCol w:w="1843"/>
        <w:gridCol w:w="657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E8CF"/>
          <w:tblCellMar>
            <w:top w:w="0" w:type="dxa"/>
            <w:left w:w="108" w:type="dxa"/>
            <w:bottom w:w="0" w:type="dxa"/>
            <w:right w:w="108" w:type="dxa"/>
          </w:tblCellMar>
        </w:tblPrEx>
        <w:trPr>
          <w:trHeight w:val="57" w:hRule="atLeast"/>
          <w:tblHeader/>
          <w:jc w:val="center"/>
        </w:trPr>
        <w:tc>
          <w:tcPr>
            <w:tcW w:w="1843" w:type="dxa"/>
            <w:shd w:val="clear" w:color="auto" w:fill="auto"/>
            <w:vAlign w:val="center"/>
          </w:tcPr>
          <w:p>
            <w:pPr>
              <w:widowControl/>
              <w:jc w:val="center"/>
              <w:rPr>
                <w:rFonts w:ascii="宋体" w:hAnsi="宋体"/>
                <w:b/>
                <w:kern w:val="0"/>
                <w:szCs w:val="21"/>
              </w:rPr>
            </w:pPr>
            <w:bookmarkStart w:id="7" w:name="_Toc27370"/>
            <w:bookmarkStart w:id="8" w:name="_Toc43246740"/>
            <w:bookmarkStart w:id="9" w:name="_Toc26665"/>
            <w:bookmarkStart w:id="10" w:name="_Toc43246743"/>
            <w:bookmarkStart w:id="11" w:name="_Toc10577"/>
            <w:bookmarkStart w:id="12" w:name="_Toc43246742"/>
            <w:r>
              <w:rPr>
                <w:rFonts w:hint="eastAsia" w:ascii="宋体" w:hAnsi="宋体"/>
                <w:b/>
                <w:kern w:val="0"/>
                <w:szCs w:val="21"/>
              </w:rPr>
              <w:t>项目</w:t>
            </w:r>
          </w:p>
        </w:tc>
        <w:tc>
          <w:tcPr>
            <w:tcW w:w="6577" w:type="dxa"/>
            <w:shd w:val="clear" w:color="auto" w:fill="auto"/>
            <w:vAlign w:val="center"/>
          </w:tcPr>
          <w:p>
            <w:pPr>
              <w:widowControl/>
              <w:jc w:val="center"/>
              <w:rPr>
                <w:rFonts w:ascii="宋体" w:hAnsi="宋体"/>
                <w:b/>
                <w:kern w:val="0"/>
                <w:szCs w:val="21"/>
              </w:rPr>
            </w:pPr>
            <w:r>
              <w:rPr>
                <w:rFonts w:hint="eastAsia" w:ascii="宋体" w:hAnsi="宋体"/>
                <w:b/>
                <w:kern w:val="0"/>
                <w:szCs w:val="21"/>
              </w:rPr>
              <w:t>参数描述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E8CF"/>
          <w:tblCellMar>
            <w:top w:w="0" w:type="dxa"/>
            <w:left w:w="108" w:type="dxa"/>
            <w:bottom w:w="0" w:type="dxa"/>
            <w:right w:w="108" w:type="dxa"/>
          </w:tblCellMar>
        </w:tblPrEx>
        <w:trPr>
          <w:trHeight w:val="57" w:hRule="atLeast"/>
          <w:jc w:val="center"/>
        </w:trPr>
        <w:tc>
          <w:tcPr>
            <w:tcW w:w="1843" w:type="dxa"/>
            <w:shd w:val="clear" w:color="auto" w:fill="auto"/>
          </w:tcPr>
          <w:p>
            <w:pPr>
              <w:jc w:val="center"/>
              <w:rPr>
                <w:rFonts w:ascii="宋体" w:hAnsi="宋体"/>
                <w:szCs w:val="21"/>
              </w:rPr>
            </w:pPr>
            <w:r>
              <w:rPr>
                <w:rFonts w:hint="eastAsia" w:ascii="宋体" w:hAnsi="宋体"/>
                <w:szCs w:val="21"/>
              </w:rPr>
              <w:t>处理器</w:t>
            </w:r>
          </w:p>
        </w:tc>
        <w:tc>
          <w:tcPr>
            <w:tcW w:w="6577" w:type="dxa"/>
            <w:shd w:val="clear" w:color="auto" w:fill="auto"/>
          </w:tcPr>
          <w:p>
            <w:pPr>
              <w:rPr>
                <w:rFonts w:ascii="宋体" w:hAnsi="宋体"/>
                <w:szCs w:val="21"/>
              </w:rPr>
            </w:pPr>
            <w:r>
              <w:rPr>
                <w:rFonts w:hint="eastAsia" w:ascii="宋体" w:hAnsi="宋体"/>
                <w:szCs w:val="21"/>
              </w:rPr>
              <w:t>不少于1颗CPU(≥10核)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E8CF"/>
          <w:tblCellMar>
            <w:top w:w="0" w:type="dxa"/>
            <w:left w:w="108" w:type="dxa"/>
            <w:bottom w:w="0" w:type="dxa"/>
            <w:right w:w="108" w:type="dxa"/>
          </w:tblCellMar>
        </w:tblPrEx>
        <w:trPr>
          <w:trHeight w:val="57" w:hRule="atLeast"/>
          <w:jc w:val="center"/>
        </w:trPr>
        <w:tc>
          <w:tcPr>
            <w:tcW w:w="1843" w:type="dxa"/>
            <w:shd w:val="clear" w:color="auto" w:fill="auto"/>
          </w:tcPr>
          <w:p>
            <w:pPr>
              <w:jc w:val="center"/>
              <w:rPr>
                <w:rFonts w:ascii="宋体" w:hAnsi="宋体"/>
                <w:szCs w:val="21"/>
              </w:rPr>
            </w:pPr>
            <w:r>
              <w:rPr>
                <w:rFonts w:hint="eastAsia" w:ascii="宋体" w:hAnsi="宋体"/>
                <w:szCs w:val="21"/>
              </w:rPr>
              <w:t>内存</w:t>
            </w:r>
          </w:p>
        </w:tc>
        <w:tc>
          <w:tcPr>
            <w:tcW w:w="6577" w:type="dxa"/>
            <w:shd w:val="clear" w:color="auto" w:fill="auto"/>
          </w:tcPr>
          <w:p>
            <w:pPr>
              <w:rPr>
                <w:rFonts w:ascii="宋体" w:hAnsi="宋体"/>
                <w:szCs w:val="21"/>
              </w:rPr>
            </w:pPr>
            <w:r>
              <w:rPr>
                <w:rFonts w:hint="eastAsia" w:ascii="宋体" w:hAnsi="宋体"/>
                <w:szCs w:val="21"/>
              </w:rPr>
              <w:t>标配≥</w:t>
            </w:r>
            <w:r>
              <w:rPr>
                <w:rFonts w:ascii="宋体" w:hAnsi="宋体"/>
                <w:szCs w:val="21"/>
              </w:rPr>
              <w:t>64</w:t>
            </w:r>
            <w:r>
              <w:rPr>
                <w:rFonts w:hint="eastAsia" w:ascii="宋体" w:hAnsi="宋体"/>
                <w:szCs w:val="21"/>
              </w:rPr>
              <w:t>G DDR4</w:t>
            </w:r>
          </w:p>
          <w:p>
            <w:pPr>
              <w:rPr>
                <w:rFonts w:ascii="宋体" w:hAnsi="宋体"/>
                <w:szCs w:val="21"/>
              </w:rPr>
            </w:pPr>
            <w:r>
              <w:rPr>
                <w:rFonts w:hint="eastAsia" w:ascii="宋体" w:hAnsi="宋体"/>
                <w:szCs w:val="21"/>
              </w:rPr>
              <w:t>扩展≥16根内存插槽，最大可扩展至2TB内存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E8CF"/>
          <w:tblCellMar>
            <w:top w:w="0" w:type="dxa"/>
            <w:left w:w="108" w:type="dxa"/>
            <w:bottom w:w="0" w:type="dxa"/>
            <w:right w:w="108" w:type="dxa"/>
          </w:tblCellMar>
        </w:tblPrEx>
        <w:trPr>
          <w:trHeight w:val="69" w:hRule="atLeast"/>
          <w:jc w:val="center"/>
        </w:trPr>
        <w:tc>
          <w:tcPr>
            <w:tcW w:w="1843" w:type="dxa"/>
            <w:shd w:val="clear" w:color="auto" w:fill="auto"/>
          </w:tcPr>
          <w:p>
            <w:pPr>
              <w:jc w:val="center"/>
              <w:rPr>
                <w:rFonts w:ascii="宋体" w:hAnsi="宋体"/>
                <w:szCs w:val="21"/>
              </w:rPr>
            </w:pPr>
            <w:r>
              <w:rPr>
                <w:rFonts w:hint="eastAsia" w:ascii="宋体" w:hAnsi="宋体"/>
                <w:szCs w:val="21"/>
              </w:rPr>
              <w:t>网络控制器</w:t>
            </w:r>
          </w:p>
        </w:tc>
        <w:tc>
          <w:tcPr>
            <w:tcW w:w="6577" w:type="dxa"/>
            <w:shd w:val="clear" w:color="auto" w:fill="auto"/>
          </w:tcPr>
          <w:p>
            <w:pPr>
              <w:rPr>
                <w:rFonts w:ascii="宋体" w:hAnsi="宋体"/>
                <w:szCs w:val="21"/>
              </w:rPr>
            </w:pPr>
            <w:r>
              <w:rPr>
                <w:rFonts w:hint="eastAsia" w:ascii="宋体" w:hAnsi="宋体"/>
                <w:szCs w:val="21"/>
              </w:rPr>
              <w:t>标配≥2个千兆RJ45电口</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E8CF"/>
          <w:tblCellMar>
            <w:top w:w="0" w:type="dxa"/>
            <w:left w:w="108" w:type="dxa"/>
            <w:bottom w:w="0" w:type="dxa"/>
            <w:right w:w="108" w:type="dxa"/>
          </w:tblCellMar>
        </w:tblPrEx>
        <w:trPr>
          <w:trHeight w:val="45" w:hRule="atLeast"/>
          <w:jc w:val="center"/>
        </w:trPr>
        <w:tc>
          <w:tcPr>
            <w:tcW w:w="1843" w:type="dxa"/>
            <w:shd w:val="clear" w:color="auto" w:fill="auto"/>
          </w:tcPr>
          <w:p>
            <w:pPr>
              <w:jc w:val="center"/>
              <w:rPr>
                <w:rFonts w:ascii="宋体" w:hAnsi="宋体"/>
                <w:szCs w:val="21"/>
              </w:rPr>
            </w:pPr>
            <w:r>
              <w:rPr>
                <w:rFonts w:hint="eastAsia" w:ascii="宋体" w:hAnsi="宋体"/>
                <w:szCs w:val="21"/>
              </w:rPr>
              <w:t>PCIE扩展</w:t>
            </w:r>
          </w:p>
        </w:tc>
        <w:tc>
          <w:tcPr>
            <w:tcW w:w="6577" w:type="dxa"/>
            <w:shd w:val="clear" w:color="auto" w:fill="auto"/>
          </w:tcPr>
          <w:p>
            <w:pPr>
              <w:rPr>
                <w:rFonts w:ascii="宋体" w:hAnsi="宋体"/>
                <w:szCs w:val="21"/>
              </w:rPr>
            </w:pPr>
            <w:r>
              <w:rPr>
                <w:rFonts w:hint="eastAsia" w:ascii="宋体" w:hAnsi="宋体"/>
                <w:szCs w:val="21"/>
              </w:rPr>
              <w:t>最大可支持≥6个PCIe扩展插槽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E8CF"/>
          <w:tblCellMar>
            <w:top w:w="0" w:type="dxa"/>
            <w:left w:w="108" w:type="dxa"/>
            <w:bottom w:w="0" w:type="dxa"/>
            <w:right w:w="108" w:type="dxa"/>
          </w:tblCellMar>
        </w:tblPrEx>
        <w:trPr>
          <w:trHeight w:val="45" w:hRule="atLeast"/>
          <w:jc w:val="center"/>
        </w:trPr>
        <w:tc>
          <w:tcPr>
            <w:tcW w:w="1843" w:type="dxa"/>
            <w:shd w:val="clear" w:color="auto" w:fill="auto"/>
          </w:tcPr>
          <w:p>
            <w:pPr>
              <w:jc w:val="center"/>
              <w:rPr>
                <w:rFonts w:ascii="宋体" w:hAnsi="宋体"/>
                <w:szCs w:val="21"/>
              </w:rPr>
            </w:pPr>
            <w:r>
              <w:rPr>
                <w:rFonts w:hint="eastAsia" w:ascii="宋体" w:hAnsi="宋体"/>
                <w:szCs w:val="21"/>
              </w:rPr>
              <w:t>硬盘控制器</w:t>
            </w:r>
          </w:p>
        </w:tc>
        <w:tc>
          <w:tcPr>
            <w:tcW w:w="6577" w:type="dxa"/>
            <w:shd w:val="clear" w:color="auto" w:fill="auto"/>
          </w:tcPr>
          <w:p>
            <w:pPr>
              <w:rPr>
                <w:rFonts w:ascii="宋体" w:hAnsi="宋体"/>
                <w:szCs w:val="21"/>
              </w:rPr>
            </w:pPr>
            <w:r>
              <w:rPr>
                <w:rFonts w:hint="eastAsia" w:ascii="宋体" w:hAnsi="宋体"/>
                <w:szCs w:val="21"/>
              </w:rPr>
              <w:t xml:space="preserve">标配SAS_HBA 卡，支持RAID 0/1/10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E8CF"/>
          <w:tblCellMar>
            <w:top w:w="0" w:type="dxa"/>
            <w:left w:w="108" w:type="dxa"/>
            <w:bottom w:w="0" w:type="dxa"/>
            <w:right w:w="108" w:type="dxa"/>
          </w:tblCellMar>
        </w:tblPrEx>
        <w:trPr>
          <w:trHeight w:val="45" w:hRule="atLeast"/>
          <w:jc w:val="center"/>
        </w:trPr>
        <w:tc>
          <w:tcPr>
            <w:tcW w:w="1843" w:type="dxa"/>
            <w:shd w:val="clear" w:color="auto" w:fill="auto"/>
          </w:tcPr>
          <w:p>
            <w:pPr>
              <w:jc w:val="center"/>
              <w:rPr>
                <w:rFonts w:ascii="宋体" w:hAnsi="宋体"/>
                <w:szCs w:val="21"/>
              </w:rPr>
            </w:pPr>
            <w:r>
              <w:rPr>
                <w:rFonts w:hint="eastAsia" w:ascii="宋体" w:hAnsi="宋体"/>
                <w:szCs w:val="21"/>
              </w:rPr>
              <w:t>存储</w:t>
            </w:r>
          </w:p>
        </w:tc>
        <w:tc>
          <w:tcPr>
            <w:tcW w:w="6577" w:type="dxa"/>
            <w:shd w:val="clear" w:color="auto" w:fill="auto"/>
          </w:tcPr>
          <w:p>
            <w:pPr>
              <w:rPr>
                <w:rFonts w:ascii="宋体" w:hAnsi="宋体"/>
                <w:szCs w:val="21"/>
              </w:rPr>
            </w:pPr>
            <w:r>
              <w:rPr>
                <w:rFonts w:hint="eastAsia" w:ascii="宋体" w:hAnsi="宋体"/>
                <w:szCs w:val="21"/>
              </w:rPr>
              <w:t>标配≥</w:t>
            </w:r>
            <w:r>
              <w:rPr>
                <w:rFonts w:ascii="宋体" w:hAnsi="宋体"/>
                <w:szCs w:val="21"/>
              </w:rPr>
              <w:t>4</w:t>
            </w:r>
            <w:r>
              <w:rPr>
                <w:rFonts w:hint="eastAsia" w:ascii="宋体" w:hAnsi="宋体"/>
                <w:szCs w:val="21"/>
              </w:rPr>
              <w:t>块</w:t>
            </w:r>
            <w:r>
              <w:rPr>
                <w:rFonts w:ascii="宋体" w:hAnsi="宋体"/>
                <w:szCs w:val="21"/>
              </w:rPr>
              <w:t>600GB</w:t>
            </w:r>
            <w:r>
              <w:rPr>
                <w:rFonts w:hint="eastAsia" w:ascii="宋体" w:hAnsi="宋体"/>
                <w:szCs w:val="21"/>
              </w:rPr>
              <w:t xml:space="preserve"> </w:t>
            </w:r>
            <w:r>
              <w:rPr>
                <w:rFonts w:ascii="宋体" w:hAnsi="宋体"/>
                <w:szCs w:val="21"/>
              </w:rPr>
              <w:t>2</w:t>
            </w:r>
            <w:r>
              <w:rPr>
                <w:rFonts w:hint="eastAsia" w:ascii="宋体" w:hAnsi="宋体"/>
                <w:szCs w:val="21"/>
              </w:rPr>
              <w:t>.5英寸SAS盘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E8CF"/>
          <w:tblCellMar>
            <w:top w:w="0" w:type="dxa"/>
            <w:left w:w="108" w:type="dxa"/>
            <w:bottom w:w="0" w:type="dxa"/>
            <w:right w:w="108" w:type="dxa"/>
          </w:tblCellMar>
        </w:tblPrEx>
        <w:trPr>
          <w:trHeight w:val="47" w:hRule="atLeast"/>
          <w:jc w:val="center"/>
        </w:trPr>
        <w:tc>
          <w:tcPr>
            <w:tcW w:w="1843" w:type="dxa"/>
            <w:shd w:val="clear" w:color="auto" w:fill="auto"/>
          </w:tcPr>
          <w:p>
            <w:pPr>
              <w:jc w:val="center"/>
              <w:rPr>
                <w:rFonts w:ascii="宋体" w:hAnsi="宋体"/>
                <w:szCs w:val="21"/>
              </w:rPr>
            </w:pPr>
            <w:r>
              <w:rPr>
                <w:rFonts w:hint="eastAsia" w:ascii="宋体" w:hAnsi="宋体"/>
                <w:szCs w:val="21"/>
              </w:rPr>
              <w:t>其他端口</w:t>
            </w:r>
          </w:p>
        </w:tc>
        <w:tc>
          <w:tcPr>
            <w:tcW w:w="6577" w:type="dxa"/>
            <w:shd w:val="clear" w:color="auto" w:fill="auto"/>
          </w:tcPr>
          <w:p>
            <w:pPr>
              <w:rPr>
                <w:rFonts w:ascii="宋体" w:hAnsi="宋体"/>
                <w:szCs w:val="21"/>
              </w:rPr>
            </w:pPr>
            <w:r>
              <w:rPr>
                <w:rFonts w:hint="eastAsia" w:ascii="宋体" w:hAnsi="宋体"/>
                <w:szCs w:val="21"/>
              </w:rPr>
              <w:t>≥1个千兆RJ-45管理接口</w:t>
            </w:r>
          </w:p>
          <w:p>
            <w:pPr>
              <w:rPr>
                <w:rFonts w:ascii="宋体" w:hAnsi="宋体"/>
                <w:szCs w:val="21"/>
              </w:rPr>
            </w:pPr>
            <w:r>
              <w:rPr>
                <w:rFonts w:hint="eastAsia" w:ascii="宋体" w:hAnsi="宋体"/>
                <w:szCs w:val="21"/>
              </w:rPr>
              <w:t>≥4个USB接口</w:t>
            </w:r>
          </w:p>
          <w:p>
            <w:pPr>
              <w:rPr>
                <w:rFonts w:ascii="宋体" w:hAnsi="宋体"/>
                <w:szCs w:val="21"/>
              </w:rPr>
            </w:pPr>
            <w:r>
              <w:rPr>
                <w:rFonts w:hint="eastAsia" w:ascii="宋体" w:hAnsi="宋体"/>
                <w:szCs w:val="21"/>
              </w:rPr>
              <w:t>≥1个VGA接口</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E8CF"/>
          <w:tblCellMar>
            <w:top w:w="0" w:type="dxa"/>
            <w:left w:w="108" w:type="dxa"/>
            <w:bottom w:w="0" w:type="dxa"/>
            <w:right w:w="108" w:type="dxa"/>
          </w:tblCellMar>
        </w:tblPrEx>
        <w:trPr>
          <w:trHeight w:val="47" w:hRule="atLeast"/>
          <w:jc w:val="center"/>
        </w:trPr>
        <w:tc>
          <w:tcPr>
            <w:tcW w:w="1843" w:type="dxa"/>
            <w:shd w:val="clear" w:color="auto" w:fill="auto"/>
          </w:tcPr>
          <w:p>
            <w:pPr>
              <w:jc w:val="center"/>
              <w:rPr>
                <w:rFonts w:ascii="宋体" w:hAnsi="宋体"/>
                <w:szCs w:val="21"/>
              </w:rPr>
            </w:pPr>
            <w:r>
              <w:rPr>
                <w:rFonts w:hint="eastAsia" w:ascii="宋体" w:hAnsi="宋体"/>
                <w:szCs w:val="21"/>
              </w:rPr>
              <w:t>电源</w:t>
            </w:r>
          </w:p>
        </w:tc>
        <w:tc>
          <w:tcPr>
            <w:tcW w:w="6577" w:type="dxa"/>
            <w:shd w:val="clear" w:color="auto" w:fill="auto"/>
          </w:tcPr>
          <w:p>
            <w:pPr>
              <w:rPr>
                <w:rFonts w:ascii="宋体" w:hAnsi="宋体"/>
                <w:szCs w:val="21"/>
              </w:rPr>
            </w:pPr>
            <w:r>
              <w:rPr>
                <w:rFonts w:hint="eastAsia" w:ascii="宋体" w:hAnsi="宋体"/>
                <w:szCs w:val="21"/>
              </w:rPr>
              <w:t>高效能550W（1+1）白金冗余电源</w:t>
            </w:r>
          </w:p>
          <w:p>
            <w:pPr>
              <w:rPr>
                <w:rFonts w:ascii="宋体" w:hAnsi="宋体"/>
                <w:szCs w:val="21"/>
              </w:rPr>
            </w:pPr>
            <w:r>
              <w:rPr>
                <w:rFonts w:hint="eastAsia" w:ascii="宋体" w:hAnsi="宋体"/>
                <w:szCs w:val="21"/>
              </w:rPr>
              <w:t>支持200-240V 50/60Hz AC/HVDC</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E8CF"/>
          <w:tblCellMar>
            <w:top w:w="0" w:type="dxa"/>
            <w:left w:w="108" w:type="dxa"/>
            <w:bottom w:w="0" w:type="dxa"/>
            <w:right w:w="108" w:type="dxa"/>
          </w:tblCellMar>
        </w:tblPrEx>
        <w:trPr>
          <w:trHeight w:val="45" w:hRule="atLeast"/>
          <w:jc w:val="center"/>
        </w:trPr>
        <w:tc>
          <w:tcPr>
            <w:tcW w:w="1843" w:type="dxa"/>
            <w:shd w:val="clear" w:color="auto" w:fill="auto"/>
          </w:tcPr>
          <w:p>
            <w:pPr>
              <w:jc w:val="center"/>
              <w:rPr>
                <w:rFonts w:ascii="宋体" w:hAnsi="宋体"/>
                <w:szCs w:val="21"/>
              </w:rPr>
            </w:pPr>
            <w:r>
              <w:rPr>
                <w:rFonts w:hint="eastAsia" w:ascii="宋体" w:hAnsi="宋体"/>
                <w:szCs w:val="21"/>
              </w:rPr>
              <w:t>散热</w:t>
            </w:r>
          </w:p>
        </w:tc>
        <w:tc>
          <w:tcPr>
            <w:tcW w:w="6577" w:type="dxa"/>
            <w:shd w:val="clear" w:color="auto" w:fill="auto"/>
          </w:tcPr>
          <w:p>
            <w:pPr>
              <w:rPr>
                <w:rFonts w:ascii="宋体" w:hAnsi="宋体"/>
                <w:szCs w:val="21"/>
              </w:rPr>
            </w:pPr>
            <w:r>
              <w:rPr>
                <w:rFonts w:hint="eastAsia" w:ascii="宋体" w:hAnsi="宋体"/>
                <w:szCs w:val="21"/>
              </w:rPr>
              <w:t>≥3组热插拔冗余风扇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E8CF"/>
          <w:tblCellMar>
            <w:top w:w="0" w:type="dxa"/>
            <w:left w:w="108" w:type="dxa"/>
            <w:bottom w:w="0" w:type="dxa"/>
            <w:right w:w="108" w:type="dxa"/>
          </w:tblCellMar>
        </w:tblPrEx>
        <w:trPr>
          <w:trHeight w:val="45" w:hRule="atLeast"/>
          <w:jc w:val="center"/>
        </w:trPr>
        <w:tc>
          <w:tcPr>
            <w:tcW w:w="1843" w:type="dxa"/>
            <w:shd w:val="clear" w:color="auto" w:fill="auto"/>
          </w:tcPr>
          <w:p>
            <w:pPr>
              <w:jc w:val="center"/>
              <w:rPr>
                <w:rFonts w:ascii="宋体" w:hAnsi="宋体"/>
                <w:szCs w:val="21"/>
              </w:rPr>
            </w:pPr>
            <w:r>
              <w:rPr>
                <w:rFonts w:hint="eastAsia" w:ascii="宋体" w:hAnsi="宋体"/>
                <w:szCs w:val="21"/>
              </w:rPr>
              <w:t>管理功能</w:t>
            </w:r>
          </w:p>
        </w:tc>
        <w:tc>
          <w:tcPr>
            <w:tcW w:w="6577" w:type="dxa"/>
            <w:shd w:val="clear" w:color="auto" w:fill="auto"/>
          </w:tcPr>
          <w:p>
            <w:pPr>
              <w:rPr>
                <w:rFonts w:ascii="宋体" w:hAnsi="宋体"/>
                <w:szCs w:val="21"/>
              </w:rPr>
            </w:pPr>
            <w:r>
              <w:rPr>
                <w:rFonts w:hint="eastAsia" w:ascii="宋体" w:hAnsi="宋体"/>
                <w:szCs w:val="21"/>
              </w:rPr>
              <w:t>集成BMC芯片，支持IPMI2.0和KVM Over IP高级管理功能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E8CF"/>
          <w:tblCellMar>
            <w:top w:w="0" w:type="dxa"/>
            <w:left w:w="108" w:type="dxa"/>
            <w:bottom w:w="0" w:type="dxa"/>
            <w:right w:w="108" w:type="dxa"/>
          </w:tblCellMar>
        </w:tblPrEx>
        <w:trPr>
          <w:trHeight w:val="45" w:hRule="atLeast"/>
          <w:jc w:val="center"/>
        </w:trPr>
        <w:tc>
          <w:tcPr>
            <w:tcW w:w="1843" w:type="dxa"/>
            <w:shd w:val="clear" w:color="auto" w:fill="auto"/>
          </w:tcPr>
          <w:p>
            <w:pPr>
              <w:jc w:val="center"/>
              <w:rPr>
                <w:rFonts w:ascii="宋体" w:hAnsi="宋体"/>
                <w:szCs w:val="21"/>
              </w:rPr>
            </w:pPr>
            <w:r>
              <w:rPr>
                <w:rFonts w:hint="eastAsia" w:ascii="宋体" w:hAnsi="宋体"/>
                <w:szCs w:val="21"/>
              </w:rPr>
              <w:t>显卡</w:t>
            </w:r>
          </w:p>
        </w:tc>
        <w:tc>
          <w:tcPr>
            <w:tcW w:w="6577" w:type="dxa"/>
            <w:shd w:val="clear" w:color="auto" w:fill="auto"/>
          </w:tcPr>
          <w:p>
            <w:pPr>
              <w:rPr>
                <w:rFonts w:ascii="宋体" w:hAnsi="宋体"/>
                <w:szCs w:val="21"/>
              </w:rPr>
            </w:pPr>
            <w:r>
              <w:rPr>
                <w:rFonts w:hint="eastAsia" w:ascii="宋体" w:hAnsi="宋体"/>
                <w:szCs w:val="21"/>
              </w:rPr>
              <w:t>集成显示控制器，≥32MB显存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E8CF"/>
          <w:tblCellMar>
            <w:top w:w="0" w:type="dxa"/>
            <w:left w:w="108" w:type="dxa"/>
            <w:bottom w:w="0" w:type="dxa"/>
            <w:right w:w="108" w:type="dxa"/>
          </w:tblCellMar>
        </w:tblPrEx>
        <w:trPr>
          <w:trHeight w:val="48" w:hRule="atLeast"/>
          <w:jc w:val="center"/>
        </w:trPr>
        <w:tc>
          <w:tcPr>
            <w:tcW w:w="1843" w:type="dxa"/>
            <w:shd w:val="clear" w:color="auto" w:fill="auto"/>
          </w:tcPr>
          <w:p>
            <w:pPr>
              <w:jc w:val="center"/>
              <w:rPr>
                <w:rFonts w:ascii="宋体" w:hAnsi="宋体"/>
                <w:szCs w:val="21"/>
              </w:rPr>
            </w:pPr>
            <w:r>
              <w:rPr>
                <w:rFonts w:hint="eastAsia" w:ascii="宋体" w:hAnsi="宋体"/>
                <w:szCs w:val="21"/>
              </w:rPr>
              <w:t>环境温度要求</w:t>
            </w:r>
          </w:p>
        </w:tc>
        <w:tc>
          <w:tcPr>
            <w:tcW w:w="6577" w:type="dxa"/>
            <w:shd w:val="clear" w:color="auto" w:fill="auto"/>
          </w:tcPr>
          <w:p>
            <w:pPr>
              <w:rPr>
                <w:rFonts w:ascii="宋体" w:hAnsi="宋体"/>
                <w:szCs w:val="21"/>
              </w:rPr>
            </w:pPr>
            <w:r>
              <w:rPr>
                <w:rFonts w:hint="eastAsia" w:ascii="宋体" w:hAnsi="宋体"/>
                <w:szCs w:val="21"/>
              </w:rPr>
              <w:t>工作时5℃～40℃</w:t>
            </w:r>
          </w:p>
          <w:p>
            <w:pPr>
              <w:rPr>
                <w:rFonts w:ascii="宋体" w:hAnsi="宋体"/>
                <w:szCs w:val="21"/>
              </w:rPr>
            </w:pPr>
            <w:r>
              <w:rPr>
                <w:rFonts w:hint="eastAsia" w:ascii="宋体" w:hAnsi="宋体"/>
                <w:szCs w:val="21"/>
              </w:rPr>
              <w:t>运输存储-40℃～60℃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CCE8CF"/>
          <w:tblCellMar>
            <w:top w:w="0" w:type="dxa"/>
            <w:left w:w="108" w:type="dxa"/>
            <w:bottom w:w="0" w:type="dxa"/>
            <w:right w:w="108" w:type="dxa"/>
          </w:tblCellMar>
        </w:tblPrEx>
        <w:trPr>
          <w:trHeight w:val="48" w:hRule="atLeast"/>
          <w:jc w:val="center"/>
        </w:trPr>
        <w:tc>
          <w:tcPr>
            <w:tcW w:w="1843" w:type="dxa"/>
            <w:shd w:val="clear" w:color="auto" w:fill="auto"/>
          </w:tcPr>
          <w:p>
            <w:pPr>
              <w:jc w:val="center"/>
              <w:rPr>
                <w:rFonts w:ascii="宋体" w:hAnsi="宋体"/>
                <w:szCs w:val="21"/>
              </w:rPr>
            </w:pPr>
            <w:r>
              <w:rPr>
                <w:rFonts w:hint="eastAsia" w:ascii="宋体" w:hAnsi="宋体"/>
                <w:szCs w:val="21"/>
              </w:rPr>
              <w:t>相对湿度要求</w:t>
            </w:r>
          </w:p>
        </w:tc>
        <w:tc>
          <w:tcPr>
            <w:tcW w:w="6577" w:type="dxa"/>
            <w:shd w:val="clear" w:color="auto" w:fill="auto"/>
          </w:tcPr>
          <w:p>
            <w:pPr>
              <w:rPr>
                <w:rFonts w:ascii="宋体" w:hAnsi="宋体"/>
                <w:szCs w:val="21"/>
              </w:rPr>
            </w:pPr>
            <w:r>
              <w:rPr>
                <w:rFonts w:hint="eastAsia" w:ascii="宋体" w:hAnsi="宋体"/>
                <w:szCs w:val="21"/>
              </w:rPr>
              <w:t>工作时35％～80％ RH</w:t>
            </w:r>
          </w:p>
          <w:p>
            <w:pPr>
              <w:rPr>
                <w:rFonts w:ascii="宋体" w:hAnsi="宋体"/>
                <w:szCs w:val="21"/>
              </w:rPr>
            </w:pPr>
            <w:r>
              <w:rPr>
                <w:rFonts w:hint="eastAsia" w:ascii="宋体" w:hAnsi="宋体"/>
                <w:szCs w:val="21"/>
              </w:rPr>
              <w:t>运输存储20％～93％ RH</w:t>
            </w:r>
          </w:p>
        </w:tc>
      </w:tr>
      <w:bookmarkEnd w:id="7"/>
      <w:bookmarkEnd w:id="8"/>
      <w:bookmarkEnd w:id="9"/>
      <w:bookmarkEnd w:id="10"/>
      <w:bookmarkEnd w:id="11"/>
      <w:bookmarkEnd w:id="12"/>
    </w:tbl>
    <w:p>
      <w:pPr>
        <w:pStyle w:val="2"/>
        <w:rPr>
          <w:b/>
          <w:bCs/>
        </w:rPr>
      </w:pPr>
    </w:p>
    <w:p>
      <w:pPr>
        <w:spacing w:line="560" w:lineRule="exact"/>
        <w:ind w:firstLine="480" w:firstLineChars="200"/>
        <w:rPr>
          <w:rFonts w:ascii="宋体" w:hAnsi="宋体" w:cs="宋体"/>
          <w:bCs/>
          <w:sz w:val="24"/>
        </w:rPr>
      </w:pPr>
      <w:r>
        <w:rPr>
          <w:rFonts w:ascii="宋体" w:hAnsi="宋体" w:cs="宋体"/>
          <w:bCs/>
          <w:sz w:val="24"/>
        </w:rPr>
        <w:t>2.</w:t>
      </w:r>
      <w:r>
        <w:rPr>
          <w:rFonts w:hint="eastAsia" w:ascii="宋体" w:hAnsi="宋体" w:cs="宋体"/>
          <w:bCs/>
          <w:sz w:val="24"/>
        </w:rPr>
        <w:t>采购1套综合安防管理平台，平台提供基础功能模块、视频监控模块、视频联网模块和告警联动模块等，提供</w:t>
      </w:r>
      <w:r>
        <w:rPr>
          <w:rFonts w:hint="eastAsia" w:ascii="宋体" w:hAnsi="宋体" w:cs="宋体"/>
          <w:b/>
          <w:sz w:val="24"/>
        </w:rPr>
        <w:t>至少1000</w:t>
      </w:r>
      <w:r>
        <w:rPr>
          <w:rFonts w:hint="eastAsia" w:ascii="宋体" w:hAnsi="宋体" w:cs="宋体"/>
          <w:b/>
          <w:sz w:val="24"/>
          <w:lang w:val="zh-CN"/>
        </w:rPr>
        <w:t>个监控管理</w:t>
      </w:r>
      <w:r>
        <w:rPr>
          <w:rFonts w:hint="eastAsia" w:ascii="宋体" w:hAnsi="宋体" w:cs="宋体"/>
          <w:b/>
          <w:sz w:val="24"/>
        </w:rPr>
        <w:t>和50个门禁管理授权</w:t>
      </w:r>
      <w:r>
        <w:rPr>
          <w:rFonts w:hint="eastAsia" w:ascii="宋体" w:hAnsi="宋体" w:cs="宋体"/>
          <w:bCs/>
          <w:sz w:val="24"/>
        </w:rPr>
        <w:t>接入。</w:t>
      </w:r>
    </w:p>
    <w:p>
      <w:pPr>
        <w:spacing w:line="560" w:lineRule="exact"/>
        <w:ind w:firstLine="480" w:firstLineChars="200"/>
        <w:rPr>
          <w:rFonts w:ascii="宋体" w:hAnsi="宋体" w:cs="宋体"/>
          <w:bCs/>
          <w:sz w:val="24"/>
        </w:rPr>
      </w:pPr>
      <w:r>
        <w:rPr>
          <w:rFonts w:hint="eastAsia" w:ascii="宋体" w:hAnsi="宋体" w:cs="宋体"/>
          <w:bCs/>
          <w:sz w:val="24"/>
        </w:rPr>
        <w:t>综合安防管理平台参数要求：</w:t>
      </w:r>
    </w:p>
    <w:tbl>
      <w:tblPr>
        <w:tblStyle w:val="31"/>
        <w:tblW w:w="8470" w:type="dxa"/>
        <w:tblInd w:w="91" w:type="dxa"/>
        <w:tblLayout w:type="fixed"/>
        <w:tblCellMar>
          <w:top w:w="0" w:type="dxa"/>
          <w:left w:w="108" w:type="dxa"/>
          <w:bottom w:w="0" w:type="dxa"/>
          <w:right w:w="108" w:type="dxa"/>
        </w:tblCellMar>
      </w:tblPr>
      <w:tblGrid>
        <w:gridCol w:w="763"/>
        <w:gridCol w:w="677"/>
        <w:gridCol w:w="5833"/>
        <w:gridCol w:w="427"/>
        <w:gridCol w:w="770"/>
      </w:tblGrid>
      <w:tr>
        <w:tblPrEx>
          <w:tblCellMar>
            <w:top w:w="0" w:type="dxa"/>
            <w:left w:w="108" w:type="dxa"/>
            <w:bottom w:w="0" w:type="dxa"/>
            <w:right w:w="108" w:type="dxa"/>
          </w:tblCellMar>
        </w:tblPrEx>
        <w:trPr>
          <w:trHeight w:val="783" w:hRule="atLeast"/>
        </w:trPr>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项目名称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模块</w:t>
            </w:r>
          </w:p>
        </w:tc>
        <w:tc>
          <w:tcPr>
            <w:tcW w:w="5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技术规格</w:t>
            </w:r>
          </w:p>
        </w:tc>
        <w:tc>
          <w:tcPr>
            <w:tcW w:w="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单位</w:t>
            </w: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数量</w:t>
            </w:r>
          </w:p>
        </w:tc>
      </w:tr>
      <w:tr>
        <w:tblPrEx>
          <w:tblCellMar>
            <w:top w:w="0" w:type="dxa"/>
            <w:left w:w="108" w:type="dxa"/>
            <w:bottom w:w="0" w:type="dxa"/>
            <w:right w:w="108" w:type="dxa"/>
          </w:tblCellMar>
        </w:tblPrEx>
        <w:trPr>
          <w:trHeight w:val="90"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综合安防管理平台</w:t>
            </w: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基础模块</w:t>
            </w:r>
          </w:p>
        </w:tc>
        <w:tc>
          <w:tcPr>
            <w:tcW w:w="5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pPr>
            <w:r>
              <w:rPr>
                <w:rFonts w:hint="eastAsia"/>
              </w:rPr>
              <w:t>系统基础包，提供业务应用依赖的基础资源信息及基础服务能力，包括系统基础信息管理、地图应用服务、事件联动应用服务。</w:t>
            </w:r>
            <w:r>
              <w:rPr>
                <w:rFonts w:hint="eastAsia"/>
              </w:rPr>
              <w:br w:type="textWrapping"/>
            </w:r>
            <w:r>
              <w:rPr>
                <w:rFonts w:hint="eastAsia"/>
                <w:lang w:bidi="ar"/>
              </w:rPr>
              <w:t>系统基础信息管理：</w:t>
            </w:r>
            <w:r>
              <w:rPr>
                <w:rFonts w:hint="eastAsia"/>
              </w:rPr>
              <w:br w:type="textWrapping"/>
            </w:r>
            <w:r>
              <w:rPr>
                <w:rFonts w:hint="eastAsia"/>
              </w:rPr>
              <w:t>系统基础信息管理提供了系统业务应用依赖的基础资源，包括安保用户管理、安保基础数据管理、安保区域管理、安保系统配置、物联设备管理，统一管理了组织、区域、人员、卡片、车辆和物联设备等资源，并提供人车、人卡的关联关系配置能力。</w:t>
            </w:r>
            <w:r>
              <w:rPr>
                <w:rFonts w:hint="eastAsia"/>
              </w:rPr>
              <w:br w:type="textWrapping"/>
            </w:r>
            <w:r>
              <w:rPr>
                <w:rFonts w:hint="eastAsia"/>
              </w:rPr>
              <w:t>一、组织资源管理</w:t>
            </w:r>
            <w:r>
              <w:rPr>
                <w:rFonts w:hint="eastAsia"/>
              </w:rPr>
              <w:br w:type="textWrapping"/>
            </w:r>
            <w:r>
              <w:rPr>
                <w:rFonts w:hint="eastAsia"/>
              </w:rPr>
              <w:t>1、支持组织基础信息的增删改查、导入、导出等功能；</w:t>
            </w:r>
            <w:r>
              <w:rPr>
                <w:rFonts w:hint="eastAsia"/>
              </w:rPr>
              <w:br w:type="textWrapping"/>
            </w:r>
            <w:r>
              <w:rPr>
                <w:rFonts w:hint="eastAsia"/>
              </w:rPr>
              <w:t>二、区域资源管理</w:t>
            </w:r>
            <w:r>
              <w:rPr>
                <w:rFonts w:hint="eastAsia"/>
              </w:rPr>
              <w:br w:type="textWrapping"/>
            </w:r>
            <w:r>
              <w:rPr>
                <w:rFonts w:hint="eastAsia"/>
              </w:rPr>
              <w:t>1、支持区域基础信息的增删改查、导入、导出等功能；</w:t>
            </w:r>
            <w:r>
              <w:rPr>
                <w:rFonts w:hint="eastAsia"/>
              </w:rPr>
              <w:br w:type="textWrapping"/>
            </w:r>
            <w:r>
              <w:rPr>
                <w:rFonts w:hint="eastAsia"/>
              </w:rPr>
              <w:t>三、人员信息管理</w:t>
            </w:r>
            <w:r>
              <w:rPr>
                <w:rFonts w:hint="eastAsia"/>
              </w:rPr>
              <w:br w:type="textWrapping"/>
            </w:r>
            <w:r>
              <w:rPr>
                <w:rFonts w:hint="eastAsia"/>
              </w:rPr>
              <w:t>1、支持人员信息的增删改查、导入、导出，包括人脸、指纹采集；</w:t>
            </w:r>
            <w:r>
              <w:rPr>
                <w:rFonts w:hint="eastAsia"/>
              </w:rPr>
              <w:br w:type="textWrapping"/>
            </w:r>
            <w:r>
              <w:rPr>
                <w:rFonts w:hint="eastAsia"/>
              </w:rPr>
              <w:t>2、支持人员基础信息自定义扩展；</w:t>
            </w:r>
            <w:r>
              <w:rPr>
                <w:rFonts w:hint="eastAsia"/>
              </w:rPr>
              <w:br w:type="textWrapping"/>
            </w:r>
            <w:r>
              <w:rPr>
                <w:rFonts w:hint="eastAsia"/>
              </w:rPr>
              <w:t>四、卡片信息管理</w:t>
            </w:r>
            <w:r>
              <w:rPr>
                <w:rFonts w:hint="eastAsia"/>
              </w:rPr>
              <w:br w:type="textWrapping"/>
            </w:r>
            <w:r>
              <w:rPr>
                <w:rFonts w:hint="eastAsia"/>
              </w:rPr>
              <w:t>1、支持卡片基本信息的增删改查、导入、导出；</w:t>
            </w:r>
            <w:r>
              <w:rPr>
                <w:rFonts w:hint="eastAsia"/>
              </w:rPr>
              <w:br w:type="textWrapping"/>
            </w:r>
            <w:r>
              <w:rPr>
                <w:rFonts w:hint="eastAsia"/>
              </w:rPr>
              <w:t>2、支持人员开卡、退卡、挂失、解挂、换卡及卡扇区加密；</w:t>
            </w:r>
            <w:r>
              <w:rPr>
                <w:rFonts w:hint="eastAsia"/>
              </w:rPr>
              <w:br w:type="textWrapping"/>
            </w:r>
            <w:r>
              <w:rPr>
                <w:rFonts w:hint="eastAsia"/>
              </w:rPr>
              <w:t>五、车辆信息管理</w:t>
            </w:r>
            <w:r>
              <w:rPr>
                <w:rFonts w:hint="eastAsia"/>
              </w:rPr>
              <w:br w:type="textWrapping"/>
            </w:r>
            <w:r>
              <w:rPr>
                <w:rFonts w:hint="eastAsia"/>
              </w:rPr>
              <w:t>1、支持车辆基本信息的增删改查、导入、导出；</w:t>
            </w:r>
            <w:r>
              <w:rPr>
                <w:rFonts w:hint="eastAsia"/>
              </w:rPr>
              <w:br w:type="textWrapping"/>
            </w:r>
            <w:r>
              <w:rPr>
                <w:rFonts w:hint="eastAsia"/>
              </w:rPr>
              <w:t>六、设备信息管理</w:t>
            </w:r>
            <w:r>
              <w:rPr>
                <w:rFonts w:hint="eastAsia"/>
              </w:rPr>
              <w:br w:type="textWrapping"/>
            </w:r>
            <w:r>
              <w:rPr>
                <w:rFonts w:hint="eastAsia"/>
              </w:rPr>
              <w:t>1、提供设备统一接入管理，包括：视频设备、出入口设备、门禁设备、梯控设备、可视对讲设备、食堂消费设备、寻车诱导设备、卡口设备、车载设备、报警设备等。</w:t>
            </w:r>
            <w:r>
              <w:rPr>
                <w:rFonts w:hint="eastAsia"/>
              </w:rPr>
              <w:br w:type="textWrapping"/>
            </w:r>
            <w:r>
              <w:rPr>
                <w:rFonts w:hint="eastAsia"/>
              </w:rPr>
              <w:t>七、系统用户管理</w:t>
            </w:r>
            <w:r>
              <w:rPr>
                <w:rFonts w:hint="eastAsia"/>
              </w:rPr>
              <w:br w:type="textWrapping"/>
            </w:r>
            <w:r>
              <w:rPr>
                <w:rFonts w:hint="eastAsia"/>
              </w:rPr>
              <w:t>1、支持账户基本信息和角色信息的增删改查；</w:t>
            </w:r>
            <w:r>
              <w:rPr>
                <w:rFonts w:hint="eastAsia"/>
              </w:rPr>
              <w:br w:type="textWrapping"/>
            </w:r>
            <w:r>
              <w:rPr>
                <w:rFonts w:hint="eastAsia"/>
              </w:rPr>
              <w:t>2、支持配置不同角色权限，包括菜单权限、组织权限、区域权限、资源权限、功能控制权限；</w:t>
            </w:r>
            <w:r>
              <w:rPr>
                <w:rFonts w:hint="eastAsia"/>
              </w:rPr>
              <w:br w:type="textWrapping"/>
            </w:r>
            <w:r>
              <w:rPr>
                <w:rFonts w:hint="eastAsia"/>
              </w:rPr>
              <w:t>3、支持用户组权限分配；</w:t>
            </w:r>
            <w:r>
              <w:rPr>
                <w:rFonts w:hint="eastAsia"/>
              </w:rPr>
              <w:br w:type="textWrapping"/>
            </w:r>
            <w:r>
              <w:rPr>
                <w:rFonts w:hint="eastAsia"/>
              </w:rPr>
              <w:t>4、支持用户安全管理，可绑定用户mac地址及IP，可自行修改用户密码或者管理员重置密码；</w:t>
            </w:r>
            <w:r>
              <w:rPr>
                <w:rFonts w:hint="eastAsia"/>
              </w:rPr>
              <w:br w:type="textWrapping"/>
            </w:r>
            <w:r>
              <w:rPr>
                <w:rFonts w:hint="eastAsia"/>
              </w:rPr>
              <w:t>5、支持从Windows域同步用户信息，用于域账户进行平台登录；</w:t>
            </w:r>
          </w:p>
          <w:p>
            <w:pPr>
              <w:widowControl/>
              <w:textAlignment w:val="center"/>
            </w:pPr>
            <w:r>
              <w:rPr>
                <w:rFonts w:hint="eastAsia"/>
              </w:rPr>
              <w:t>6、</w:t>
            </w:r>
            <w:r>
              <w:t>要求支持导航视图管理，对系统内各节点进行查看、增加、删除、修改，展示、查找；支持对系统内所有服务器进行监控，包括名称、IP地址、状态、未处理告警数、CPU使用率、内存使用率、磁盘容量、主机代理等；支持对系统内所有组件信息进行监控，组件信息包含：组件名称、未处理告警数、所属服务器、最近操作时间、授权状态等</w:t>
            </w:r>
            <w:r>
              <w:rPr>
                <w:rFonts w:hint="eastAsia"/>
                <w:b/>
                <w:bCs/>
              </w:rPr>
              <w:t>（提供公安部检测机构出具的检测报告复印件证明，加盖所投品牌厂商公章）</w:t>
            </w:r>
            <w:r>
              <w:rPr>
                <w:rFonts w:hint="eastAsia"/>
              </w:rPr>
              <w:br w:type="textWrapping"/>
            </w:r>
            <w:r>
              <w:rPr>
                <w:rFonts w:hint="eastAsia"/>
              </w:rPr>
              <w:t>八、核心参数配置</w:t>
            </w:r>
            <w:r>
              <w:rPr>
                <w:rFonts w:hint="eastAsia"/>
              </w:rPr>
              <w:br w:type="textWrapping"/>
            </w:r>
            <w:r>
              <w:rPr>
                <w:rFonts w:hint="eastAsia"/>
              </w:rPr>
              <w:t>1、支持首页菜单自定义展示设置；</w:t>
            </w:r>
            <w:r>
              <w:rPr>
                <w:rFonts w:hint="eastAsia"/>
              </w:rPr>
              <w:br w:type="textWrapping"/>
            </w:r>
            <w:r>
              <w:rPr>
                <w:rFonts w:hint="eastAsia"/>
              </w:rPr>
              <w:t>2、支持所有设备统一校时；</w:t>
            </w:r>
            <w:r>
              <w:rPr>
                <w:rFonts w:hint="eastAsia"/>
              </w:rPr>
              <w:br w:type="textWrapping"/>
            </w:r>
            <w:r>
              <w:rPr>
                <w:rFonts w:hint="eastAsia"/>
              </w:rPr>
              <w:t>3、提供账户安全设置，支持账户密码有效期设置。</w:t>
            </w:r>
            <w:r>
              <w:rPr>
                <w:rFonts w:hint="eastAsia"/>
              </w:rPr>
              <w:br w:type="textWrapping"/>
            </w:r>
            <w:r>
              <w:rPr>
                <w:rFonts w:hint="eastAsia"/>
                <w:lang w:bidi="ar"/>
              </w:rPr>
              <w:t>图上监控：</w:t>
            </w:r>
            <w:r>
              <w:rPr>
                <w:rFonts w:hint="eastAsia"/>
              </w:rPr>
              <w:br w:type="textWrapping"/>
            </w:r>
            <w:r>
              <w:rPr>
                <w:rFonts w:hint="eastAsia"/>
              </w:rPr>
              <w:t>图上监控应用以地图可视化模式为各类设备资源提供可视化展示及控制操作，在地图上可展示各类资源点的地理位置，通过接收资源点报警事件，实现报警信息可视化展示。</w:t>
            </w:r>
            <w:r>
              <w:rPr>
                <w:rFonts w:hint="eastAsia"/>
              </w:rPr>
              <w:br w:type="textWrapping"/>
            </w:r>
            <w:r>
              <w:rPr>
                <w:rFonts w:hint="eastAsia"/>
              </w:rPr>
              <w:t>1、支持地图配置能力，包含在线（高德）、离线GIS地图（高德、自定义）</w:t>
            </w:r>
            <w:r>
              <w:rPr>
                <w:rFonts w:hint="eastAsia"/>
              </w:rPr>
              <w:br w:type="textWrapping"/>
            </w:r>
            <w:r>
              <w:rPr>
                <w:rFonts w:hint="eastAsia"/>
              </w:rPr>
              <w:t>2、支持资源上图配置能力，实现资源的地图可视化展示及控制操作，资源类型包含监控点、报警输出、报警输入、门禁点、出入口、停车场、传感器、手持视频终端、园区卡口资源、防区、报警输入、报警输出、报警主机IO输出、消防设备；</w:t>
            </w:r>
            <w:r>
              <w:rPr>
                <w:rFonts w:hint="eastAsia"/>
              </w:rPr>
              <w:br w:type="textWrapping"/>
            </w:r>
            <w:r>
              <w:rPr>
                <w:rFonts w:hint="eastAsia"/>
              </w:rPr>
              <w:t>3、支持事件可视化监控能力，实时展示报警事件，支持历史报警事件查询；</w:t>
            </w:r>
            <w:r>
              <w:rPr>
                <w:rFonts w:hint="eastAsia"/>
              </w:rPr>
              <w:br w:type="textWrapping"/>
            </w:r>
            <w:r>
              <w:rPr>
                <w:rFonts w:hint="eastAsia"/>
              </w:rPr>
              <w:t>4、支持针对移动GPS设备的轨迹回放能力，如单兵设备；</w:t>
            </w:r>
            <w:r>
              <w:rPr>
                <w:rFonts w:hint="eastAsia"/>
              </w:rPr>
              <w:br w:type="textWrapping"/>
            </w:r>
            <w:r>
              <w:rPr>
                <w:rFonts w:hint="eastAsia"/>
                <w:lang w:bidi="ar"/>
              </w:rPr>
              <w:t>事件联动：</w:t>
            </w:r>
            <w:r>
              <w:rPr>
                <w:rFonts w:hint="eastAsia"/>
              </w:rPr>
              <w:br w:type="textWrapping"/>
            </w:r>
            <w:r>
              <w:rPr>
                <w:rFonts w:hint="eastAsia"/>
              </w:rPr>
              <w:t>事件联动提供系统报警事件接收、事件处理、事件联动、事件检索能力，提供场景化的事件联动应用（在“特定条件”下执行“特定动作”），报警事件产生时，可以通过多种方式、多种联动场景提醒安保人员，保障报警事件通知的及时性，包括多种联动方式：视频弹窗、视频上墙、录像联动、云台联动、短信联动、邮箱联动、IO联动、抓图联动、门禁反控联动等。</w:t>
            </w:r>
            <w:r>
              <w:rPr>
                <w:rFonts w:hint="eastAsia"/>
              </w:rPr>
              <w:br w:type="textWrapping"/>
            </w:r>
            <w:r>
              <w:rPr>
                <w:rFonts w:hint="eastAsia"/>
              </w:rPr>
              <w:t>一、事件联动管理</w:t>
            </w:r>
            <w:r>
              <w:rPr>
                <w:rFonts w:hint="eastAsia"/>
              </w:rPr>
              <w:br w:type="textWrapping"/>
            </w:r>
            <w:r>
              <w:rPr>
                <w:rFonts w:hint="eastAsia"/>
              </w:rPr>
              <w:t>1、支持事件联动规则配置管理，包括规则增删改查；</w:t>
            </w:r>
            <w:r>
              <w:rPr>
                <w:rFonts w:hint="eastAsia"/>
              </w:rPr>
              <w:br w:type="textWrapping"/>
            </w:r>
            <w:r>
              <w:rPr>
                <w:rFonts w:hint="eastAsia"/>
              </w:rPr>
              <w:t>2、支持事件规则计划模板，包括全天候模式、工作日模式、周末模式及自定义模式；</w:t>
            </w:r>
            <w:r>
              <w:rPr>
                <w:rFonts w:hint="eastAsia"/>
              </w:rPr>
              <w:br w:type="textWrapping"/>
            </w:r>
            <w:r>
              <w:rPr>
                <w:rFonts w:hint="eastAsia"/>
              </w:rPr>
              <w:t>3、支持多种报警事件配置联动，包括：14种触发事件类型（包含：视频事件、入侵报警事件、IO事件、门禁事件、停车场事件、可视对讲事件、行车监控事件、梯控事件、动环事件、紧急报警事件、人脸识别事件、卡口事件、消防事件、测温事件）和21种事件联动动作配置；</w:t>
            </w:r>
            <w:r>
              <w:rPr>
                <w:rFonts w:hint="eastAsia"/>
              </w:rPr>
              <w:br w:type="textWrapping"/>
            </w:r>
            <w:r>
              <w:rPr>
                <w:rFonts w:hint="eastAsia"/>
              </w:rPr>
              <w:t>4、提供7种高级联动规则模版配置，支持配置满足在指定时间段存在多个触发事件类型而联动多个并发动作的场景。</w:t>
            </w:r>
            <w:r>
              <w:rPr>
                <w:rFonts w:hint="eastAsia"/>
              </w:rPr>
              <w:br w:type="textWrapping"/>
            </w:r>
            <w:r>
              <w:rPr>
                <w:rFonts w:hint="eastAsia"/>
              </w:rPr>
              <w:t>二、事件检索管理</w:t>
            </w:r>
            <w:r>
              <w:rPr>
                <w:rFonts w:hint="eastAsia"/>
              </w:rPr>
              <w:br w:type="textWrapping"/>
            </w:r>
            <w:r>
              <w:rPr>
                <w:rFonts w:hint="eastAsia"/>
              </w:rPr>
              <w:t>1、支持报警事件自定义时间存储，最长支持36个月存储；</w:t>
            </w:r>
            <w:r>
              <w:rPr>
                <w:rFonts w:hint="eastAsia"/>
              </w:rPr>
              <w:br w:type="textWrapping"/>
            </w:r>
            <w:r>
              <w:rPr>
                <w:rFonts w:hint="eastAsia"/>
              </w:rPr>
              <w:t>2、支持多种维度检索报警事件，包括：区域、位置、事件源、事件等级、时间、状态等维度；</w:t>
            </w:r>
            <w:r>
              <w:rPr>
                <w:rFonts w:hint="eastAsia"/>
              </w:rPr>
              <w:br w:type="textWrapping"/>
            </w:r>
            <w:r>
              <w:rPr>
                <w:rFonts w:hint="eastAsia"/>
              </w:rPr>
              <w:t>3、支持事件详情查看，包括抓图、录像等；</w:t>
            </w:r>
            <w:r>
              <w:rPr>
                <w:rFonts w:hint="eastAsia"/>
              </w:rPr>
              <w:br w:type="textWrapping"/>
            </w:r>
            <w:r>
              <w:rPr>
                <w:rFonts w:hint="eastAsia"/>
              </w:rPr>
              <w:t>4、支持对报警事件进行标记、处理以及导出。</w:t>
            </w:r>
          </w:p>
          <w:p>
            <w:pPr>
              <w:widowControl/>
              <w:textAlignment w:val="center"/>
            </w:pPr>
            <w:r>
              <w:rPr>
                <w:rFonts w:hint="eastAsia"/>
              </w:rPr>
              <w:t>配置要求：</w:t>
            </w:r>
          </w:p>
          <w:p>
            <w:pPr>
              <w:widowControl/>
              <w:textAlignment w:val="center"/>
            </w:pPr>
            <w:r>
              <w:t>1、支持管理最大组织数2000个，组织层级最大10级；</w:t>
            </w:r>
          </w:p>
          <w:p>
            <w:pPr>
              <w:widowControl/>
              <w:textAlignment w:val="center"/>
            </w:pPr>
            <w:r>
              <w:t>2、支持管理最大区域数2000个，区域层级最大10级。；</w:t>
            </w:r>
          </w:p>
          <w:p>
            <w:pPr>
              <w:widowControl/>
              <w:textAlignment w:val="center"/>
            </w:pPr>
            <w:r>
              <w:t>3、支持管理最大人员数量5万；</w:t>
            </w:r>
          </w:p>
          <w:p>
            <w:pPr>
              <w:widowControl/>
              <w:textAlignment w:val="center"/>
            </w:pPr>
            <w:r>
              <w:t>4、支持管理最大卡片数量5万；</w:t>
            </w:r>
          </w:p>
          <w:p>
            <w:pPr>
              <w:widowControl/>
              <w:textAlignment w:val="center"/>
            </w:pPr>
            <w:r>
              <w:t>5、支持管理最大车辆数量3万；</w:t>
            </w:r>
          </w:p>
          <w:p>
            <w:pPr>
              <w:widowControl/>
              <w:textAlignment w:val="center"/>
            </w:pPr>
            <w:r>
              <w:t>6、支持最大的在线用户数1000个，并发登录用户数50个。</w:t>
            </w:r>
          </w:p>
          <w:p>
            <w:pPr>
              <w:widowControl/>
              <w:textAlignment w:val="center"/>
            </w:pPr>
            <w:r>
              <w:t>7、支持最大事件并发处理500条/秒（不带图片）；</w:t>
            </w:r>
          </w:p>
          <w:p>
            <w:pPr>
              <w:widowControl/>
              <w:textAlignment w:val="center"/>
            </w:pPr>
            <w:r>
              <w:t>8、支持联动上墙并发1次/秒；</w:t>
            </w:r>
          </w:p>
          <w:p>
            <w:pPr>
              <w:widowControl/>
              <w:textAlignment w:val="center"/>
            </w:pPr>
            <w:r>
              <w:t>9、支持最大每秒联动100个不同的视频点位进行抓图；</w:t>
            </w:r>
          </w:p>
          <w:p>
            <w:pPr>
              <w:widowControl/>
              <w:textAlignment w:val="center"/>
            </w:pPr>
            <w:r>
              <w:t>10、支持最大每秒联动100个不同的视频点位进行录像；</w:t>
            </w:r>
          </w:p>
          <w:p>
            <w:pPr>
              <w:widowControl/>
              <w:textAlignment w:val="center"/>
            </w:pPr>
            <w:r>
              <w:t>11、支持联动并发发邮件2封/秒；</w:t>
            </w:r>
          </w:p>
          <w:p>
            <w:pPr>
              <w:widowControl/>
              <w:textAlignment w:val="center"/>
            </w:pPr>
            <w:r>
              <w:t>12、支持短信联动（云信留客短信网关：1-2秒/条；</w:t>
            </w:r>
          </w:p>
          <w:p>
            <w:pPr>
              <w:widowControl/>
              <w:textAlignment w:val="center"/>
            </w:pPr>
            <w:r>
              <w:t>短信猫：70字符以下，10秒/条；</w:t>
            </w:r>
          </w:p>
          <w:p>
            <w:pPr>
              <w:widowControl/>
              <w:textAlignment w:val="center"/>
            </w:pPr>
            <w:r>
              <w:t>70字符以上分条发送，20秒/条；）</w:t>
            </w:r>
          </w:p>
          <w:p>
            <w:pPr>
              <w:widowControl/>
              <w:textAlignment w:val="center"/>
            </w:pPr>
            <w:r>
              <w:t>13、支持最大事件存储7200万条；</w:t>
            </w:r>
          </w:p>
          <w:p>
            <w:pPr>
              <w:widowControl/>
              <w:textAlignment w:val="center"/>
            </w:pPr>
            <w:r>
              <w:t>14、支持管理资源上图数量2万个。</w:t>
            </w:r>
          </w:p>
        </w:tc>
        <w:tc>
          <w:tcPr>
            <w:tcW w:w="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1408"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b/>
                <w:bCs/>
                <w:color w:val="000000"/>
                <w:szCs w:val="21"/>
              </w:rPr>
            </w:pP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视频监控授权</w:t>
            </w:r>
          </w:p>
        </w:tc>
        <w:tc>
          <w:tcPr>
            <w:tcW w:w="5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pPr>
            <w:r>
              <w:rPr>
                <w:rFonts w:hint="eastAsia"/>
              </w:rPr>
              <w:t>视频监控应用提供视频管理服务，支持编码设备通过海康设备网络SDK协议、海康Ehome协议、海康ISUP5.0协议、GB28181协议、ONVIF协议、大华设备网络SDK协议、萤石协议接入平台，实现视频预览、录像回放、视频上墙、视频事件监控服务能力，并且在网络带宽不足、有流量限制的网络环境下可以通过以图片替代视频的模式提供监控服务。</w:t>
            </w:r>
            <w:r>
              <w:br w:type="textWrapping"/>
            </w:r>
            <w:r>
              <w:rPr>
                <w:rFonts w:hint="eastAsia"/>
              </w:rPr>
              <w:t>一、视频预览</w:t>
            </w:r>
            <w:r>
              <w:br w:type="textWrapping"/>
            </w:r>
            <w:r>
              <w:rPr>
                <w:rFonts w:hint="eastAsia"/>
              </w:rPr>
              <w:t>1、支持视频实时预览能力，实现预览窗口布局切换、预览画面自适应及全屏切换；</w:t>
            </w:r>
            <w:r>
              <w:br w:type="textWrapping"/>
            </w:r>
            <w:r>
              <w:rPr>
                <w:rFonts w:hint="eastAsia"/>
              </w:rPr>
              <w:t>2、支持云台控制、实时抓图、紧急录像、即时回放、主子码流切换、声音开启\关闭、辅屏预览（1个辅屏）、对讲、广播、报警输出控制的能力；</w:t>
            </w:r>
            <w:r>
              <w:br w:type="textWrapping"/>
            </w:r>
            <w:r>
              <w:rPr>
                <w:rFonts w:hint="eastAsia"/>
              </w:rPr>
              <w:t>3、支持智能规则展示的能力（如：针对热成像设备温度信息实时展示）；</w:t>
            </w:r>
            <w:r>
              <w:br w:type="textWrapping"/>
            </w:r>
            <w:r>
              <w:rPr>
                <w:rFonts w:hint="eastAsia"/>
              </w:rPr>
              <w:t>4、支持资源视图管理能力，以视图形式管理监控点、视频预览轮巡等自定义资源组，其中视图类型包含公有视图和私有视图；</w:t>
            </w:r>
            <w:r>
              <w:br w:type="textWrapping"/>
            </w:r>
            <w:r>
              <w:rPr>
                <w:rFonts w:hint="eastAsia"/>
              </w:rPr>
              <w:t>5、支持全景视频监控预览能力，支持球型鹰眼、全景摄像机的全景模式；</w:t>
            </w:r>
          </w:p>
          <w:p>
            <w:pPr>
              <w:widowControl/>
              <w:textAlignment w:val="center"/>
            </w:pPr>
            <w:r>
              <w:rPr>
                <w:rFonts w:hint="eastAsia"/>
              </w:rPr>
              <w:t>6、要求支持全景摄像机，实现360度的全景监控，可以对全景区域内的多个目标进行穿越警戒面、区域入侵、进入区域、离开区域行为的检测</w:t>
            </w:r>
            <w:r>
              <w:rPr>
                <w:rFonts w:hint="eastAsia"/>
                <w:b/>
                <w:bCs/>
              </w:rPr>
              <w:t>（提供公安部检测机构出具的检测报告复印件证明，加盖所投品牌厂商公章）</w:t>
            </w:r>
            <w:r>
              <w:br w:type="textWrapping"/>
            </w:r>
            <w:r>
              <w:rPr>
                <w:rFonts w:hint="eastAsia"/>
              </w:rPr>
              <w:t>二、录像回放</w:t>
            </w:r>
            <w:r>
              <w:br w:type="textWrapping"/>
            </w:r>
            <w:r>
              <w:rPr>
                <w:rFonts w:hint="eastAsia"/>
              </w:rPr>
              <w:t>1、支持录像计划管理能力，支持实时录像计划、录像回传计划；</w:t>
            </w:r>
            <w:r>
              <w:br w:type="textWrapping"/>
            </w:r>
            <w:r>
              <w:rPr>
                <w:rFonts w:hint="eastAsia"/>
              </w:rPr>
              <w:t>2、支持录像回放能力，支持多画面同步回放和异步回放切换、超高倍速回放、分段回放、录像下载、录像剪辑、录像标签、录像锁定、录像抓图；</w:t>
            </w:r>
          </w:p>
          <w:p>
            <w:pPr>
              <w:widowControl/>
              <w:textAlignment w:val="center"/>
            </w:pPr>
            <w:r>
              <w:rPr>
                <w:rFonts w:hint="eastAsia" w:ascii="宋体" w:hAnsi="宋体"/>
              </w:rPr>
              <w:t>3、支持录像回传至中心存储，可以支持计划回传和手动回传两种模式。</w:t>
            </w:r>
            <w:r>
              <w:br w:type="textWrapping"/>
            </w:r>
            <w:r>
              <w:rPr>
                <w:rFonts w:hint="eastAsia"/>
              </w:rPr>
              <w:t>三、图片监控</w:t>
            </w:r>
            <w:r>
              <w:br w:type="textWrapping"/>
            </w:r>
            <w:r>
              <w:rPr>
                <w:rFonts w:hint="eastAsia"/>
              </w:rPr>
              <w:t>1、支持视频预览与图片实时监控模式切换能力，实现图片监控模式；</w:t>
            </w:r>
            <w:r>
              <w:br w:type="textWrapping"/>
            </w:r>
            <w:r>
              <w:rPr>
                <w:rFonts w:hint="eastAsia"/>
              </w:rPr>
              <w:t>2、支持图片查询回放能力，实现按监控点、时间段展示抓拍图片；</w:t>
            </w:r>
            <w:r>
              <w:br w:type="textWrapping"/>
            </w:r>
            <w:r>
              <w:rPr>
                <w:rFonts w:hint="eastAsia"/>
              </w:rPr>
              <w:t>3、支持图片自动播放能力，支持图片自动播放速度可设置；</w:t>
            </w:r>
            <w:r>
              <w:br w:type="textWrapping"/>
            </w:r>
            <w:r>
              <w:rPr>
                <w:rFonts w:hint="eastAsia"/>
              </w:rPr>
              <w:t>4、支持图片下载能力；</w:t>
            </w:r>
            <w:r>
              <w:br w:type="textWrapping"/>
            </w:r>
            <w:r>
              <w:rPr>
                <w:rFonts w:hint="eastAsia"/>
              </w:rPr>
              <w:t>四、视频上墙</w:t>
            </w:r>
            <w:r>
              <w:br w:type="textWrapping"/>
            </w:r>
            <w:r>
              <w:rPr>
                <w:rFonts w:hint="eastAsia"/>
              </w:rPr>
              <w:t>1、支持电视墙场景管理能力，实现场景窗口配置、场景切换计划配置以及轮巡计划的管理；</w:t>
            </w:r>
            <w:r>
              <w:br w:type="textWrapping"/>
            </w:r>
            <w:r>
              <w:rPr>
                <w:rFonts w:hint="eastAsia"/>
              </w:rPr>
              <w:t>2、支持上墙控制能力，实现场景一键上墙、场景切换、电视墙切换、监控点上下墙、轮巡控制操作；</w:t>
            </w:r>
            <w:r>
              <w:br w:type="textWrapping"/>
            </w:r>
            <w:r>
              <w:rPr>
                <w:rFonts w:hint="eastAsia"/>
              </w:rPr>
              <w:t>五、视频事件</w:t>
            </w:r>
            <w:r>
              <w:br w:type="textWrapping"/>
            </w:r>
            <w:r>
              <w:rPr>
                <w:rFonts w:hint="eastAsia"/>
              </w:rPr>
              <w:t>1、支持视频事件布撤防能力，可按计划模版进行布防，事件类型包括移动侦测、视频丢失、视频遮挡、报警输入、报警输出；</w:t>
            </w:r>
          </w:p>
          <w:p>
            <w:pPr>
              <w:pStyle w:val="2"/>
              <w:numPr>
                <w:ilvl w:val="0"/>
                <w:numId w:val="2"/>
              </w:numPr>
            </w:pPr>
            <w:r>
              <w:rPr>
                <w:rFonts w:hint="eastAsia"/>
              </w:rPr>
              <w:t>配置要求</w:t>
            </w:r>
          </w:p>
          <w:p>
            <w:pPr>
              <w:pStyle w:val="3"/>
              <w:ind w:left="0"/>
            </w:pPr>
            <w:r>
              <w:rPr>
                <w:rFonts w:hint="eastAsia"/>
              </w:rPr>
              <w:t>1、平台支持监控点数量管理10W个（超过5000需要分布式部署）；</w:t>
            </w:r>
          </w:p>
          <w:p>
            <w:pPr>
              <w:pStyle w:val="3"/>
              <w:ind w:left="0"/>
            </w:pPr>
            <w:r>
              <w:rPr>
                <w:rFonts w:hint="eastAsia"/>
              </w:rPr>
              <w:t>2、支持并发取流带宽2000M，例如以2M/路计算最大并发路数为1000路</w:t>
            </w:r>
            <w:r>
              <w:t xml:space="preserve"> </w:t>
            </w:r>
            <w:r>
              <w:rPr>
                <w:rFonts w:hint="eastAsia"/>
              </w:rPr>
              <w:t>（以千兆服务器为例，每台服务器并发取流带宽为600M，超过600M需要分布式部署）；</w:t>
            </w:r>
          </w:p>
          <w:p>
            <w:pPr>
              <w:pStyle w:val="3"/>
              <w:ind w:left="0"/>
            </w:pPr>
            <w:r>
              <w:rPr>
                <w:rFonts w:hint="eastAsia"/>
              </w:rPr>
              <w:t>3、解码能力：在i7、GTX1070的PC上，解码H264、720P的视频36路；</w:t>
            </w:r>
          </w:p>
          <w:p>
            <w:pPr>
              <w:pStyle w:val="3"/>
              <w:ind w:left="0"/>
            </w:pPr>
            <w:r>
              <w:rPr>
                <w:rFonts w:hint="eastAsia"/>
              </w:rPr>
              <w:t>4、支持电视墙最大场景数128个；</w:t>
            </w:r>
          </w:p>
          <w:p>
            <w:pPr>
              <w:pStyle w:val="3"/>
              <w:ind w:left="0"/>
            </w:pPr>
            <w:r>
              <w:rPr>
                <w:rFonts w:hint="eastAsia"/>
              </w:rPr>
              <w:t>5、单个电视墙最大支持数量25*25个；</w:t>
            </w:r>
          </w:p>
          <w:p>
            <w:pPr>
              <w:pStyle w:val="3"/>
              <w:ind w:left="0"/>
            </w:pPr>
            <w:r>
              <w:rPr>
                <w:rFonts w:hint="eastAsia"/>
              </w:rPr>
              <w:t>6、单个窗口最大分割数量16个；</w:t>
            </w:r>
          </w:p>
          <w:p>
            <w:r>
              <w:rPr>
                <w:rFonts w:hint="eastAsia"/>
              </w:rPr>
              <w:t>7、附带至少50个门禁管理授权。</w:t>
            </w:r>
          </w:p>
        </w:tc>
        <w:tc>
          <w:tcPr>
            <w:tcW w:w="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路</w:t>
            </w: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1000</w:t>
            </w:r>
          </w:p>
        </w:tc>
      </w:tr>
      <w:tr>
        <w:tblPrEx>
          <w:tblCellMar>
            <w:top w:w="0" w:type="dxa"/>
            <w:left w:w="108" w:type="dxa"/>
            <w:bottom w:w="0" w:type="dxa"/>
            <w:right w:w="108" w:type="dxa"/>
          </w:tblCellMar>
        </w:tblPrEx>
        <w:trPr>
          <w:trHeight w:val="2260"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color w:val="000000"/>
                <w:szCs w:val="21"/>
              </w:rPr>
            </w:pP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视频联网模块</w:t>
            </w:r>
          </w:p>
        </w:tc>
        <w:tc>
          <w:tcPr>
            <w:tcW w:w="5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宋体" w:hAnsi="宋体" w:cs="宋体"/>
                <w:color w:val="000000"/>
                <w:kern w:val="0"/>
                <w:szCs w:val="21"/>
                <w:lang w:bidi="ar"/>
              </w:rPr>
            </w:pPr>
            <w:r>
              <w:rPr>
                <w:rFonts w:hint="eastAsia" w:ascii="宋体" w:hAnsi="宋体" w:cs="宋体"/>
                <w:color w:val="000000"/>
                <w:kern w:val="0"/>
                <w:szCs w:val="21"/>
                <w:lang w:bidi="ar"/>
              </w:rPr>
              <w:t>视频级联应用主要为视频监控业务提供级联服务，专注于平台域间视频联网，基于视频通用标准协议（GB/T28181-2011,GB/T28181-2016）与外域平台互联互通，实现上级平台对下级平台视频资源点位的操作控制。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1、支持上下级域注册管理能力，实现平台数据级联；</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2、支持资源同步能力；</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3、支持级联视频点位实时预览、录像回放、录像下载、语音对讲能力；</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4、支持级联视频点位设备操作控制能力；</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5、支持下级平台推送到本级平台视频点位路数控制能力，通过级联点位授权路数控制；</w:t>
            </w:r>
          </w:p>
          <w:p>
            <w:pPr>
              <w:widowControl/>
              <w:textAlignment w:val="center"/>
              <w:rPr>
                <w:rFonts w:ascii="宋体" w:hAnsi="宋体" w:cs="宋体"/>
                <w:color w:val="000000"/>
                <w:kern w:val="0"/>
                <w:szCs w:val="21"/>
                <w:lang w:bidi="ar"/>
              </w:rPr>
            </w:pPr>
            <w:r>
              <w:rPr>
                <w:rFonts w:hint="eastAsia" w:ascii="宋体" w:hAnsi="宋体" w:cs="宋体"/>
                <w:color w:val="000000"/>
                <w:kern w:val="0"/>
                <w:szCs w:val="21"/>
                <w:lang w:bidi="ar"/>
              </w:rPr>
              <w:t>6、单个NCG信令节点：最大支持5个上级域平台、15个下级域平台；</w:t>
            </w:r>
          </w:p>
          <w:p>
            <w:pPr>
              <w:widowControl/>
              <w:textAlignment w:val="center"/>
              <w:rPr>
                <w:rFonts w:ascii="宋体" w:hAnsi="宋体" w:cs="宋体"/>
                <w:color w:val="000000"/>
                <w:szCs w:val="21"/>
              </w:rPr>
            </w:pPr>
            <w:r>
              <w:rPr>
                <w:rFonts w:ascii="宋体" w:hAnsi="宋体" w:cs="宋体"/>
                <w:color w:val="000000"/>
                <w:kern w:val="0"/>
                <w:szCs w:val="21"/>
                <w:lang w:bidi="ar"/>
              </w:rPr>
              <w:t>7</w:t>
            </w:r>
            <w:r>
              <w:rPr>
                <w:rFonts w:hint="eastAsia" w:ascii="宋体" w:hAnsi="宋体" w:cs="宋体"/>
                <w:color w:val="000000"/>
                <w:kern w:val="0"/>
                <w:szCs w:val="21"/>
                <w:lang w:bidi="ar"/>
              </w:rPr>
              <w:t>、</w:t>
            </w:r>
            <w:r>
              <w:rPr>
                <w:rFonts w:hint="eastAsia"/>
              </w:rPr>
              <w:t>要求支持以中心管理服务为核心的网络拓扑结构，支持对系统中的分组、服务器、组件等统计概览、查看。</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其中第3、4点需要基于视频监控应用特性提供业务应用。</w:t>
            </w:r>
          </w:p>
        </w:tc>
        <w:tc>
          <w:tcPr>
            <w:tcW w:w="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r>
      <w:tr>
        <w:tblPrEx>
          <w:tblCellMar>
            <w:top w:w="0" w:type="dxa"/>
            <w:left w:w="108" w:type="dxa"/>
            <w:bottom w:w="0" w:type="dxa"/>
            <w:right w:w="108" w:type="dxa"/>
          </w:tblCellMar>
        </w:tblPrEx>
        <w:trPr>
          <w:trHeight w:val="952"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cs="宋体"/>
                <w:color w:val="000000"/>
                <w:szCs w:val="21"/>
              </w:rPr>
            </w:pPr>
          </w:p>
        </w:tc>
        <w:tc>
          <w:tcPr>
            <w:tcW w:w="6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事件处置模块</w:t>
            </w:r>
          </w:p>
        </w:tc>
        <w:tc>
          <w:tcPr>
            <w:tcW w:w="5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pPr>
            <w:r>
              <w:rPr>
                <w:rFonts w:hint="eastAsia"/>
              </w:rPr>
              <w:t>事件处置应用提供事件联动的报警事件处置能力，通过移动端及客户端应用的方式，实现报警事件真实性的确认，能人工指派相关处理人进行处置并保存事件处置记录，帮助用户实现报警处置业务闭环 ，提升用户针对报警事件处置的及时性和工作效率。</w:t>
            </w:r>
            <w:r>
              <w:rPr>
                <w:rFonts w:hint="eastAsia"/>
              </w:rPr>
              <w:br w:type="textWrapping"/>
            </w:r>
            <w:r>
              <w:rPr>
                <w:rFonts w:hint="eastAsia"/>
              </w:rPr>
              <w:t>1、支持事件处理意见的自定义；</w:t>
            </w:r>
            <w:r>
              <w:rPr>
                <w:rFonts w:hint="eastAsia"/>
              </w:rPr>
              <w:br w:type="textWrapping"/>
            </w:r>
            <w:r>
              <w:rPr>
                <w:rFonts w:hint="eastAsia"/>
              </w:rPr>
              <w:t>2、支持确认事件处理意见，明确事件是否误报；</w:t>
            </w:r>
            <w:r>
              <w:rPr>
                <w:rFonts w:hint="eastAsia"/>
              </w:rPr>
              <w:br w:type="textWrapping"/>
            </w:r>
            <w:r>
              <w:rPr>
                <w:rFonts w:hint="eastAsia"/>
              </w:rPr>
              <w:t>3、支持线上处置记录自动存储，保留操作痕迹；</w:t>
            </w:r>
            <w:r>
              <w:rPr>
                <w:rFonts w:hint="eastAsia"/>
              </w:rPr>
              <w:br w:type="textWrapping"/>
            </w:r>
            <w:r>
              <w:rPr>
                <w:rFonts w:hint="eastAsia"/>
              </w:rPr>
              <w:t>4、支持线下处置记录人工存储，可上传事件现场相关处置图片、视频素材；</w:t>
            </w:r>
            <w:r>
              <w:rPr>
                <w:rFonts w:hint="eastAsia"/>
              </w:rPr>
              <w:br w:type="textWrapping"/>
            </w:r>
            <w:r>
              <w:rPr>
                <w:rFonts w:hint="eastAsia"/>
              </w:rPr>
              <w:t>5、支持人工指派处理人，可多次选择不同人员进行事件处理；</w:t>
            </w:r>
          </w:p>
          <w:p>
            <w:pPr>
              <w:pStyle w:val="2"/>
            </w:pPr>
            <w:r>
              <w:rPr>
                <w:rFonts w:hint="eastAsia"/>
              </w:rPr>
              <w:t>6</w:t>
            </w:r>
            <w:r>
              <w:t>、支持内置处理意见数量4条</w:t>
            </w:r>
          </w:p>
          <w:p>
            <w:pPr>
              <w:widowControl/>
              <w:textAlignment w:val="center"/>
            </w:pPr>
            <w:r>
              <w:rPr>
                <w:rFonts w:hint="eastAsia"/>
              </w:rPr>
              <w:t>7</w:t>
            </w:r>
            <w:r>
              <w:t>、每个处理意见支持16个快捷短语设置</w:t>
            </w:r>
          </w:p>
          <w:p>
            <w:pPr>
              <w:widowControl/>
              <w:textAlignment w:val="center"/>
            </w:pPr>
            <w:r>
              <w:rPr>
                <w:rFonts w:hint="eastAsia"/>
              </w:rPr>
              <w:t>8、要求支持根据用户使用习惯自定义配置快捷功能入口，支持首页投放大屏展示，支持最近7天每日的用户活跃数统计。</w:t>
            </w:r>
          </w:p>
          <w:p>
            <w:pPr>
              <w:widowControl/>
              <w:textAlignment w:val="center"/>
            </w:pPr>
            <w:r>
              <w:t>9</w:t>
            </w:r>
            <w:r>
              <w:rPr>
                <w:rFonts w:hint="eastAsia"/>
              </w:rPr>
              <w:t>、支持多色彩（红、橙、黄）展示运行告警状态，支持告警统计、概览、处理，支持告警记录查看、查询，支持告警单条、批量处理；支持系统最近7天每日告警数统计，支持评分量化系统监控指数，显示系统运行状态。</w:t>
            </w:r>
          </w:p>
        </w:tc>
        <w:tc>
          <w:tcPr>
            <w:tcW w:w="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r>
    </w:tbl>
    <w:p>
      <w:pPr>
        <w:tabs>
          <w:tab w:val="left" w:pos="525"/>
          <w:tab w:val="left" w:pos="846"/>
        </w:tabs>
        <w:autoSpaceDE w:val="0"/>
        <w:autoSpaceDN w:val="0"/>
        <w:adjustRightInd w:val="0"/>
        <w:spacing w:before="120" w:beforeLines="50" w:line="560" w:lineRule="exact"/>
        <w:ind w:firstLine="482" w:firstLineChars="200"/>
        <w:outlineLvl w:val="1"/>
        <w:rPr>
          <w:rFonts w:ascii="宋体" w:hAnsi="宋体" w:cs="宋体"/>
          <w:b/>
          <w:bCs/>
          <w:sz w:val="24"/>
        </w:rPr>
      </w:pPr>
      <w:r>
        <w:rPr>
          <w:rFonts w:hint="eastAsia" w:ascii="宋体" w:hAnsi="宋体" w:cs="宋体"/>
          <w:b/>
          <w:bCs/>
          <w:sz w:val="24"/>
        </w:rPr>
        <w:t>二、 货物交付安装、验收</w:t>
      </w:r>
    </w:p>
    <w:p>
      <w:pPr>
        <w:spacing w:line="560" w:lineRule="exact"/>
        <w:ind w:firstLine="480" w:firstLineChars="200"/>
        <w:rPr>
          <w:rFonts w:ascii="宋体" w:hAnsi="宋体" w:cs="宋体"/>
          <w:bCs/>
          <w:sz w:val="24"/>
        </w:rPr>
      </w:pPr>
      <w:r>
        <w:rPr>
          <w:rFonts w:hint="eastAsia" w:ascii="宋体" w:hAnsi="宋体" w:cs="宋体"/>
          <w:bCs/>
          <w:sz w:val="24"/>
        </w:rPr>
        <w:t>（一）交付时间和地点：自合同签订之日起30日内，中选人将货物送达采购人</w:t>
      </w:r>
      <w:r>
        <w:rPr>
          <w:rFonts w:hint="default" w:ascii="宋体" w:hAnsi="宋体" w:cs="宋体"/>
          <w:bCs/>
          <w:color w:val="auto"/>
          <w:sz w:val="24"/>
          <w:lang w:val="en-US"/>
        </w:rPr>
        <w:t>指定地点</w:t>
      </w:r>
      <w:r>
        <w:rPr>
          <w:rFonts w:hint="eastAsia" w:ascii="宋体" w:hAnsi="宋体" w:cs="宋体"/>
          <w:bCs/>
          <w:sz w:val="24"/>
        </w:rPr>
        <w:t>并完成安装。所需的包装、运输、装卸、保管、保险、各种税费等费用全部由中选人承担。</w:t>
      </w:r>
    </w:p>
    <w:p>
      <w:pPr>
        <w:spacing w:line="560" w:lineRule="exact"/>
        <w:ind w:firstLine="480" w:firstLineChars="200"/>
        <w:rPr>
          <w:rFonts w:ascii="宋体" w:hAnsi="宋体" w:cs="宋体"/>
          <w:bCs/>
          <w:sz w:val="24"/>
        </w:rPr>
      </w:pPr>
      <w:r>
        <w:rPr>
          <w:rFonts w:hint="eastAsia" w:ascii="宋体" w:hAnsi="宋体" w:cs="宋体"/>
          <w:bCs/>
          <w:sz w:val="24"/>
        </w:rPr>
        <w:t xml:space="preserve">（二）中选人保证货物在运输途中的安全，外观无损坏等瑕疵，结构无脱落、松动等情况。货物的包装均应有良好的防湿、防锈、防潮、防雨、防腐及防碰撞等防护措施。凡由于包装不良造成的货物损坏和由此产生的修复、退换等费用均由中选人承担。货物验收合格前的风险由中选人承担。  </w:t>
      </w:r>
    </w:p>
    <w:p>
      <w:pPr>
        <w:spacing w:line="560" w:lineRule="exact"/>
        <w:ind w:firstLine="480" w:firstLineChars="200"/>
        <w:rPr>
          <w:rFonts w:ascii="宋体" w:hAnsi="宋体" w:cs="宋体"/>
          <w:bCs/>
          <w:sz w:val="24"/>
        </w:rPr>
      </w:pPr>
      <w:r>
        <w:rPr>
          <w:rFonts w:hint="eastAsia" w:ascii="宋体" w:hAnsi="宋体" w:cs="宋体"/>
          <w:bCs/>
          <w:sz w:val="24"/>
        </w:rPr>
        <w:t>（三）货物验收：中选人供货和安装完成后的30日内，由采购人组织验收。验收过程中，采购人发现质量问题的，在10日内向中选人提出，中选人应自采购人提出问题之日起5日内回复、退换和整改并承担由此产生的费用，退换和整改完毕之日起7日内安排采购人验收。如未按时回复、退换和完成整改，采购人有权拒收，并按中选人逾期交付处理，中选人须承担合同违约责任。如验收合格，采购人出具验收报告，作为货物付款依据。</w:t>
      </w:r>
    </w:p>
    <w:p>
      <w:pPr>
        <w:tabs>
          <w:tab w:val="left" w:pos="525"/>
          <w:tab w:val="left" w:pos="846"/>
        </w:tabs>
        <w:autoSpaceDE w:val="0"/>
        <w:autoSpaceDN w:val="0"/>
        <w:adjustRightInd w:val="0"/>
        <w:spacing w:before="120" w:beforeLines="50" w:line="560" w:lineRule="exact"/>
        <w:ind w:left="482"/>
        <w:outlineLvl w:val="1"/>
        <w:rPr>
          <w:rFonts w:ascii="宋体" w:hAnsi="宋体" w:cs="宋体"/>
          <w:b/>
          <w:bCs/>
          <w:sz w:val="24"/>
        </w:rPr>
      </w:pPr>
      <w:r>
        <w:rPr>
          <w:rFonts w:hint="eastAsia" w:ascii="宋体" w:hAnsi="宋体" w:cs="宋体"/>
          <w:b/>
          <w:bCs/>
          <w:sz w:val="24"/>
        </w:rPr>
        <w:t>三、技术要求</w:t>
      </w:r>
    </w:p>
    <w:p>
      <w:pPr>
        <w:spacing w:line="560" w:lineRule="exact"/>
        <w:ind w:firstLine="480" w:firstLineChars="200"/>
        <w:rPr>
          <w:rFonts w:ascii="宋体" w:hAnsi="宋体" w:cs="宋体"/>
          <w:bCs/>
          <w:sz w:val="24"/>
        </w:rPr>
      </w:pPr>
      <w:r>
        <w:rPr>
          <w:rFonts w:hint="eastAsia" w:ascii="宋体" w:hAnsi="宋体" w:cs="宋体"/>
          <w:bCs/>
          <w:sz w:val="24"/>
        </w:rPr>
        <w:t>（一）中选人所提供的货物必须是生产厂商原装完整的、技术先进且全新的、符合最新的国家、行业标准、其技术性能能满足采购人各项使用技术要求和安全稳定运行要求的产品</w:t>
      </w:r>
    </w:p>
    <w:p>
      <w:pPr>
        <w:spacing w:line="560" w:lineRule="exact"/>
        <w:ind w:firstLine="480" w:firstLineChars="200"/>
        <w:rPr>
          <w:rFonts w:ascii="宋体" w:hAnsi="宋体" w:cs="宋体"/>
          <w:bCs/>
          <w:sz w:val="24"/>
        </w:rPr>
      </w:pPr>
      <w:r>
        <w:rPr>
          <w:rFonts w:hint="eastAsia" w:ascii="宋体" w:hAnsi="宋体" w:cs="宋体"/>
          <w:bCs/>
          <w:sz w:val="24"/>
        </w:rPr>
        <w:t>（二）对于影响货物正常使用的必要组成部分、技术状况，无论在技术要求中指出与否，供应商都应按国家有关技术与质量标准配置；否则，若发生由此引起的安全事故的，供应商应按有关法规承担责任。</w:t>
      </w:r>
    </w:p>
    <w:p>
      <w:pPr>
        <w:tabs>
          <w:tab w:val="left" w:pos="525"/>
          <w:tab w:val="left" w:pos="846"/>
        </w:tabs>
        <w:autoSpaceDE w:val="0"/>
        <w:autoSpaceDN w:val="0"/>
        <w:adjustRightInd w:val="0"/>
        <w:spacing w:before="120" w:beforeLines="50" w:line="560" w:lineRule="exact"/>
        <w:ind w:left="482"/>
        <w:outlineLvl w:val="1"/>
        <w:rPr>
          <w:rFonts w:ascii="宋体" w:hAnsi="宋体" w:cs="宋体"/>
          <w:b/>
          <w:bCs/>
          <w:sz w:val="24"/>
        </w:rPr>
      </w:pPr>
      <w:r>
        <w:rPr>
          <w:rFonts w:hint="eastAsia" w:ascii="宋体" w:hAnsi="宋体" w:cs="宋体"/>
          <w:b/>
          <w:bCs/>
          <w:sz w:val="24"/>
        </w:rPr>
        <w:t>四、质保期、质保金及售后服务</w:t>
      </w:r>
    </w:p>
    <w:p>
      <w:pPr>
        <w:spacing w:line="560" w:lineRule="exact"/>
        <w:ind w:firstLine="480" w:firstLineChars="200"/>
        <w:rPr>
          <w:rFonts w:ascii="宋体" w:hAnsi="宋体" w:cs="宋体"/>
          <w:bCs/>
          <w:sz w:val="24"/>
        </w:rPr>
      </w:pPr>
      <w:r>
        <w:rPr>
          <w:rFonts w:hint="eastAsia" w:ascii="宋体" w:hAnsi="宋体" w:cs="宋体"/>
          <w:bCs/>
          <w:sz w:val="24"/>
        </w:rPr>
        <w:t>（一）质保期：自货物验收合格之日起质保3年。</w:t>
      </w:r>
    </w:p>
    <w:p>
      <w:pPr>
        <w:spacing w:line="560" w:lineRule="exact"/>
        <w:ind w:firstLine="480" w:firstLineChars="200"/>
        <w:rPr>
          <w:rFonts w:ascii="宋体" w:hAnsi="宋体" w:cs="宋体"/>
          <w:bCs/>
          <w:sz w:val="24"/>
        </w:rPr>
      </w:pPr>
      <w:r>
        <w:rPr>
          <w:rFonts w:hint="eastAsia" w:ascii="宋体" w:hAnsi="宋体" w:cs="宋体"/>
          <w:bCs/>
          <w:sz w:val="24"/>
        </w:rPr>
        <w:t>（二）质保金：中选人在签订合同时需预留合同款项的5%作为质保金，质保金在质保期满后支付。</w:t>
      </w:r>
    </w:p>
    <w:p>
      <w:pPr>
        <w:spacing w:line="560" w:lineRule="exact"/>
        <w:ind w:firstLine="480" w:firstLineChars="200"/>
        <w:rPr>
          <w:rFonts w:ascii="宋体" w:hAnsi="宋体" w:cs="宋体"/>
          <w:bCs/>
          <w:sz w:val="24"/>
        </w:rPr>
      </w:pPr>
      <w:r>
        <w:rPr>
          <w:rFonts w:hint="eastAsia" w:ascii="宋体" w:hAnsi="宋体" w:cs="宋体"/>
          <w:bCs/>
          <w:sz w:val="24"/>
        </w:rPr>
        <w:t>（三）售后服务：质保期内若出现质量问题，中选人在接到采购人通知后24小时内派出专业维修人员到现场进行更换，所涉拆卸费、包装费、运输费、人工费、交通费、食宿费等费用由中选人负责。质保期内货物的一切质量问题造成的直接经济损失应全部由中选人自行负责。</w:t>
      </w:r>
      <w:bookmarkEnd w:id="0"/>
      <w:bookmarkEnd w:id="4"/>
    </w:p>
    <w:p>
      <w:pPr>
        <w:rPr>
          <w:rFonts w:hint="eastAsia" w:ascii="宋体" w:hAnsi="宋体" w:cs="宋体"/>
          <w:bCs/>
          <w:sz w:val="24"/>
        </w:rPr>
      </w:pPr>
      <w:r>
        <w:rPr>
          <w:rFonts w:hint="eastAsia" w:ascii="宋体" w:hAnsi="宋体" w:cs="宋体"/>
          <w:bCs/>
          <w:sz w:val="24"/>
        </w:rPr>
        <w:br w:type="page"/>
      </w:r>
    </w:p>
    <w:p>
      <w:pPr>
        <w:adjustRightInd w:val="0"/>
        <w:snapToGrid w:val="0"/>
        <w:spacing w:line="560" w:lineRule="exact"/>
        <w:jc w:val="center"/>
        <w:outlineLvl w:val="0"/>
        <w:rPr>
          <w:rFonts w:ascii="宋体" w:hAnsi="宋体" w:cs="宋体"/>
          <w:b/>
          <w:bCs/>
          <w:sz w:val="44"/>
          <w:szCs w:val="44"/>
        </w:rPr>
      </w:pPr>
      <w:r>
        <w:rPr>
          <w:rFonts w:hint="eastAsia" w:ascii="宋体" w:hAnsi="宋体" w:cs="宋体"/>
          <w:b/>
          <w:bCs/>
          <w:sz w:val="44"/>
          <w:szCs w:val="44"/>
        </w:rPr>
        <w:t>第三部分  评审标准</w:t>
      </w:r>
    </w:p>
    <w:p>
      <w:pPr>
        <w:adjustRightInd w:val="0"/>
        <w:snapToGrid w:val="0"/>
        <w:spacing w:line="560" w:lineRule="exact"/>
        <w:rPr>
          <w:rFonts w:ascii="宋体" w:hAnsi="宋体" w:cs="宋体"/>
          <w:b/>
          <w:bCs/>
          <w:sz w:val="24"/>
        </w:rPr>
      </w:pPr>
    </w:p>
    <w:p>
      <w:pPr>
        <w:pStyle w:val="29"/>
        <w:rPr>
          <w:rFonts w:hint="eastAsia" w:ascii="宋体" w:hAnsi="宋体" w:eastAsia="宋体" w:cs="宋体"/>
          <w:bCs/>
          <w:sz w:val="24"/>
          <w:szCs w:val="24"/>
        </w:rPr>
      </w:pPr>
      <w:r>
        <w:rPr>
          <w:rFonts w:hint="eastAsia" w:ascii="宋体" w:hAnsi="宋体" w:eastAsia="宋体" w:cs="宋体"/>
          <w:bCs/>
          <w:sz w:val="24"/>
          <w:szCs w:val="24"/>
        </w:rPr>
        <w:t>一、采购人按照</w:t>
      </w:r>
      <w:r>
        <w:rPr>
          <w:rFonts w:hint="eastAsia" w:ascii="宋体" w:hAnsi="宋体" w:eastAsia="宋体" w:cs="宋体"/>
          <w:bCs/>
          <w:sz w:val="24"/>
          <w:szCs w:val="24"/>
          <w:lang w:eastAsia="zh-CN"/>
        </w:rPr>
        <w:t>规定</w:t>
      </w:r>
      <w:r>
        <w:rPr>
          <w:rFonts w:hint="eastAsia" w:ascii="宋体" w:hAnsi="宋体" w:eastAsia="宋体" w:cs="宋体"/>
          <w:bCs/>
          <w:sz w:val="24"/>
          <w:szCs w:val="24"/>
        </w:rPr>
        <w:t>组建定价小组</w:t>
      </w:r>
      <w:r>
        <w:rPr>
          <w:rFonts w:hint="eastAsia" w:ascii="宋体" w:hAnsi="宋体" w:eastAsia="宋体" w:cs="宋体"/>
          <w:bCs/>
          <w:sz w:val="24"/>
          <w:szCs w:val="24"/>
          <w:lang w:eastAsia="zh-CN"/>
        </w:rPr>
        <w:t>，</w:t>
      </w:r>
      <w:r>
        <w:rPr>
          <w:rFonts w:hint="eastAsia" w:ascii="宋体" w:hAnsi="宋体" w:eastAsia="宋体" w:cs="宋体"/>
          <w:bCs/>
          <w:sz w:val="24"/>
          <w:szCs w:val="24"/>
        </w:rPr>
        <w:t>定价小组本着公平、公正、科学、择优的原则，</w:t>
      </w:r>
      <w:r>
        <w:rPr>
          <w:rFonts w:hint="eastAsia" w:ascii="宋体" w:hAnsi="宋体" w:eastAsia="宋体" w:cs="宋体"/>
          <w:bCs/>
          <w:sz w:val="24"/>
          <w:szCs w:val="24"/>
          <w:lang w:eastAsia="zh-CN"/>
        </w:rPr>
        <w:t>根据</w:t>
      </w:r>
      <w:r>
        <w:rPr>
          <w:rFonts w:hint="eastAsia" w:ascii="宋体" w:hAnsi="宋体" w:eastAsia="宋体" w:cs="宋体"/>
          <w:bCs/>
          <w:sz w:val="24"/>
          <w:szCs w:val="24"/>
        </w:rPr>
        <w:t>评审标准开展项目评审和推荐评审结果，任何单位和个人不得非法干预或者影响评审过程和结果。</w:t>
      </w:r>
    </w:p>
    <w:p>
      <w:pPr>
        <w:pStyle w:val="29"/>
        <w:rPr>
          <w:rFonts w:hint="eastAsia" w:ascii="宋体" w:hAnsi="宋体" w:eastAsia="宋体" w:cs="宋体"/>
          <w:bCs/>
          <w:sz w:val="24"/>
          <w:szCs w:val="24"/>
        </w:rPr>
      </w:pPr>
      <w:r>
        <w:rPr>
          <w:rFonts w:hint="eastAsia" w:ascii="宋体" w:hAnsi="宋体" w:eastAsia="宋体" w:cs="宋体"/>
          <w:bCs/>
          <w:sz w:val="24"/>
          <w:szCs w:val="24"/>
        </w:rPr>
        <w:t>二、资格评审：资格评审+价格评审，共2个环节，定价小组先进行资格评审，再进行价格评审。只有资格评审结论为“通过”的参评</w:t>
      </w:r>
      <w:r>
        <w:rPr>
          <w:rFonts w:hint="default" w:ascii="宋体" w:hAnsi="宋体" w:eastAsia="宋体" w:cs="宋体"/>
          <w:bCs/>
          <w:sz w:val="24"/>
          <w:szCs w:val="24"/>
        </w:rPr>
        <w:t>供应</w:t>
      </w:r>
      <w:r>
        <w:rPr>
          <w:rFonts w:hint="eastAsia" w:ascii="宋体" w:hAnsi="宋体" w:eastAsia="宋体" w:cs="宋体"/>
          <w:bCs/>
          <w:sz w:val="24"/>
          <w:szCs w:val="24"/>
        </w:rPr>
        <w:t>商才能进入价格评审。</w:t>
      </w:r>
    </w:p>
    <w:p>
      <w:pPr>
        <w:pStyle w:val="29"/>
        <w:rPr>
          <w:rFonts w:hint="eastAsia" w:ascii="宋体" w:hAnsi="宋体" w:eastAsia="宋体" w:cs="宋体"/>
          <w:bCs/>
          <w:sz w:val="24"/>
          <w:szCs w:val="24"/>
        </w:rPr>
      </w:pPr>
      <w:r>
        <w:rPr>
          <w:rFonts w:hint="eastAsia" w:ascii="宋体" w:hAnsi="宋体" w:eastAsia="宋体" w:cs="宋体"/>
          <w:bCs/>
          <w:sz w:val="24"/>
          <w:szCs w:val="24"/>
        </w:rPr>
        <w:t>三、价格评审：采用一次报价的方式，对通过资格评审环节的报价人确定为有效报价人，定价小组根据“最低价中标原则”确定第一中选</w:t>
      </w:r>
      <w:r>
        <w:rPr>
          <w:rFonts w:hint="eastAsia" w:ascii="宋体" w:hAnsi="宋体" w:eastAsia="宋体" w:cs="宋体"/>
          <w:bCs/>
          <w:sz w:val="24"/>
          <w:szCs w:val="24"/>
          <w:lang w:val="en-US" w:eastAsia="zh-CN"/>
        </w:rPr>
        <w:t>候选</w:t>
      </w:r>
      <w:r>
        <w:rPr>
          <w:rFonts w:hint="eastAsia" w:ascii="宋体" w:hAnsi="宋体" w:eastAsia="宋体" w:cs="宋体"/>
          <w:bCs/>
          <w:sz w:val="24"/>
          <w:szCs w:val="24"/>
        </w:rPr>
        <w:t>人。</w:t>
      </w:r>
    </w:p>
    <w:p>
      <w:pPr>
        <w:pStyle w:val="29"/>
        <w:rPr>
          <w:rFonts w:hint="eastAsia" w:ascii="宋体" w:hAnsi="宋体" w:eastAsia="宋体" w:cs="宋体"/>
          <w:bCs/>
          <w:sz w:val="24"/>
          <w:szCs w:val="24"/>
        </w:rPr>
      </w:pPr>
      <w:r>
        <w:rPr>
          <w:rFonts w:hint="eastAsia" w:ascii="宋体" w:hAnsi="宋体" w:eastAsia="宋体" w:cs="宋体"/>
          <w:bCs/>
          <w:sz w:val="24"/>
          <w:szCs w:val="24"/>
        </w:rPr>
        <w:t>三、评审结果：根据价格评审排名，排名最高的参评供应商为第一中选候选人，经结果公示程序后，由采购人向第一中选候选人发出《中选通知书》，并确认意向。如第一中选候选人因故不能履约的，采购人可以确定第二中选候选人为中选</w:t>
      </w:r>
      <w:r>
        <w:rPr>
          <w:rFonts w:hint="default" w:ascii="宋体" w:hAnsi="宋体" w:eastAsia="宋体" w:cs="宋体"/>
          <w:bCs/>
          <w:sz w:val="24"/>
          <w:szCs w:val="24"/>
        </w:rPr>
        <w:t>供应</w:t>
      </w:r>
      <w:r>
        <w:rPr>
          <w:rFonts w:hint="eastAsia" w:ascii="宋体" w:hAnsi="宋体" w:eastAsia="宋体" w:cs="宋体"/>
          <w:bCs/>
          <w:sz w:val="24"/>
          <w:szCs w:val="24"/>
        </w:rPr>
        <w:t>商，以此类推。</w:t>
      </w:r>
    </w:p>
    <w:p>
      <w:pPr>
        <w:pStyle w:val="29"/>
      </w:pPr>
    </w:p>
    <w:p/>
    <w:p>
      <w:pPr>
        <w:pStyle w:val="2"/>
      </w:pPr>
      <w:r>
        <w:br w:type="page"/>
      </w:r>
    </w:p>
    <w:p>
      <w:pPr>
        <w:pStyle w:val="29"/>
      </w:pPr>
      <w:r>
        <w:rPr>
          <w:rFonts w:hint="eastAsia" w:ascii="宋体" w:hAnsi="宋体" w:cs="宋体"/>
          <w:bCs/>
          <w:sz w:val="24"/>
          <w:szCs w:val="24"/>
        </w:rPr>
        <w:t>四、资格评审表</w:t>
      </w:r>
    </w:p>
    <w:p>
      <w:r>
        <w:t xml:space="preserve"> </w:t>
      </w:r>
    </w:p>
    <w:p>
      <w:pPr>
        <w:jc w:val="center"/>
        <w:rPr>
          <w:b/>
          <w:bCs/>
          <w:sz w:val="44"/>
          <w:szCs w:val="44"/>
        </w:rPr>
      </w:pPr>
      <w:r>
        <w:rPr>
          <w:rFonts w:hint="eastAsia"/>
          <w:b/>
          <w:bCs/>
          <w:sz w:val="44"/>
          <w:szCs w:val="44"/>
        </w:rPr>
        <w:t>资格评审表</w:t>
      </w:r>
    </w:p>
    <w:p>
      <w:pPr>
        <w:pStyle w:val="2"/>
        <w:rPr>
          <w:b/>
          <w:bCs/>
        </w:rPr>
      </w:pPr>
    </w:p>
    <w:tbl>
      <w:tblPr>
        <w:tblStyle w:val="31"/>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5758"/>
        <w:gridCol w:w="1044"/>
        <w:gridCol w:w="1024"/>
        <w:gridCol w:w="1021"/>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6" w:type="dxa"/>
            <w:vAlign w:val="center"/>
          </w:tcPr>
          <w:p>
            <w:pPr>
              <w:pStyle w:val="2"/>
            </w:pPr>
            <w:r>
              <w:rPr>
                <w:rFonts w:hint="eastAsia"/>
              </w:rPr>
              <w:t>序号</w:t>
            </w:r>
          </w:p>
        </w:tc>
        <w:tc>
          <w:tcPr>
            <w:tcW w:w="5758" w:type="dxa"/>
            <w:vAlign w:val="center"/>
          </w:tcPr>
          <w:p>
            <w:pPr>
              <w:pStyle w:val="2"/>
              <w:jc w:val="center"/>
            </w:pPr>
            <w:r>
              <w:rPr>
                <w:rFonts w:hint="eastAsia"/>
              </w:rPr>
              <w:t>评审内容</w:t>
            </w:r>
          </w:p>
        </w:tc>
        <w:tc>
          <w:tcPr>
            <w:tcW w:w="1044" w:type="dxa"/>
            <w:vAlign w:val="center"/>
          </w:tcPr>
          <w:p>
            <w:pPr>
              <w:pStyle w:val="2"/>
            </w:pPr>
            <w:r>
              <w:rPr>
                <w:rFonts w:hint="eastAsia"/>
              </w:rPr>
              <w:t>供应商A</w:t>
            </w:r>
          </w:p>
        </w:tc>
        <w:tc>
          <w:tcPr>
            <w:tcW w:w="1024" w:type="dxa"/>
            <w:vAlign w:val="center"/>
          </w:tcPr>
          <w:p>
            <w:pPr>
              <w:pStyle w:val="2"/>
            </w:pPr>
            <w:r>
              <w:rPr>
                <w:rFonts w:hint="eastAsia"/>
              </w:rPr>
              <w:t>供应商B</w:t>
            </w:r>
          </w:p>
        </w:tc>
        <w:tc>
          <w:tcPr>
            <w:tcW w:w="1021" w:type="dxa"/>
            <w:vAlign w:val="center"/>
          </w:tcPr>
          <w:p>
            <w:pPr>
              <w:pStyle w:val="2"/>
            </w:pPr>
            <w:r>
              <w:rPr>
                <w:rFonts w:hint="eastAsia"/>
              </w:rPr>
              <w:t>供应商C</w:t>
            </w:r>
          </w:p>
        </w:tc>
        <w:tc>
          <w:tcPr>
            <w:tcW w:w="1021" w:type="dxa"/>
            <w:vAlign w:val="center"/>
          </w:tcPr>
          <w:p>
            <w:pPr>
              <w:pStyle w:val="2"/>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pStyle w:val="2"/>
              <w:jc w:val="center"/>
            </w:pPr>
            <w:r>
              <w:rPr>
                <w:rFonts w:hint="eastAsia"/>
              </w:rPr>
              <w:t>1</w:t>
            </w:r>
          </w:p>
        </w:tc>
        <w:tc>
          <w:tcPr>
            <w:tcW w:w="5758" w:type="dxa"/>
            <w:vAlign w:val="center"/>
          </w:tcPr>
          <w:p>
            <w:pPr>
              <w:pStyle w:val="2"/>
            </w:pPr>
            <w:r>
              <w:rPr>
                <w:rFonts w:hint="eastAsia"/>
              </w:rPr>
              <w:t>具有独立承担民事责任能力的在中华人民共和国境内注册的企业法人或其他社会组织，提供营业执照等。</w:t>
            </w:r>
          </w:p>
        </w:tc>
        <w:tc>
          <w:tcPr>
            <w:tcW w:w="1044" w:type="dxa"/>
            <w:vAlign w:val="center"/>
          </w:tcPr>
          <w:p>
            <w:pPr>
              <w:pStyle w:val="2"/>
            </w:pPr>
          </w:p>
        </w:tc>
        <w:tc>
          <w:tcPr>
            <w:tcW w:w="1024" w:type="dxa"/>
            <w:vAlign w:val="center"/>
          </w:tcPr>
          <w:p>
            <w:pPr>
              <w:pStyle w:val="2"/>
            </w:pPr>
          </w:p>
        </w:tc>
        <w:tc>
          <w:tcPr>
            <w:tcW w:w="1021" w:type="dxa"/>
          </w:tcPr>
          <w:p>
            <w:pPr>
              <w:pStyle w:val="2"/>
            </w:pPr>
          </w:p>
        </w:tc>
        <w:tc>
          <w:tcPr>
            <w:tcW w:w="1021" w:type="dxa"/>
          </w:tcPr>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pStyle w:val="2"/>
              <w:jc w:val="center"/>
            </w:pPr>
            <w:r>
              <w:rPr>
                <w:rFonts w:hint="eastAsia"/>
              </w:rPr>
              <w:t>2</w:t>
            </w:r>
          </w:p>
        </w:tc>
        <w:tc>
          <w:tcPr>
            <w:tcW w:w="5758" w:type="dxa"/>
            <w:vAlign w:val="center"/>
          </w:tcPr>
          <w:p>
            <w:pPr>
              <w:pStyle w:val="2"/>
            </w:pPr>
            <w:r>
              <w:rPr>
                <w:rFonts w:hint="eastAsia"/>
              </w:rPr>
              <w:t>具有所投</w:t>
            </w:r>
            <w:r>
              <w:rPr>
                <w:rFonts w:hint="eastAsia"/>
                <w:lang w:val="en-US" w:eastAsia="zh-CN"/>
              </w:rPr>
              <w:t>产品</w:t>
            </w:r>
            <w:r>
              <w:rPr>
                <w:rFonts w:hint="eastAsia"/>
              </w:rPr>
              <w:t>合法的生产或销售（代理</w:t>
            </w:r>
            <w:r>
              <w:rPr>
                <w:rFonts w:hint="eastAsia" w:eastAsia="宋体"/>
              </w:rPr>
              <w:t>）经营权，</w:t>
            </w:r>
            <w:r>
              <w:rPr>
                <w:rFonts w:hint="eastAsia" w:eastAsia="宋体"/>
                <w:lang w:val="en-US" w:eastAsia="zh-CN"/>
              </w:rPr>
              <w:t>经营范围包括</w:t>
            </w:r>
            <w:r>
              <w:rPr>
                <w:rFonts w:hint="eastAsia" w:eastAsia="宋体"/>
                <w:lang w:val="zh-CN"/>
              </w:rPr>
              <w:t>工程建设</w:t>
            </w:r>
            <w:r>
              <w:rPr>
                <w:rFonts w:hint="eastAsia" w:eastAsia="宋体"/>
                <w:lang w:val="zh-CN" w:eastAsia="zh-CN"/>
              </w:rPr>
              <w:t>、</w:t>
            </w:r>
            <w:r>
              <w:rPr>
                <w:rFonts w:hint="eastAsia" w:eastAsia="宋体"/>
                <w:lang w:val="en-US" w:eastAsia="zh-CN"/>
              </w:rPr>
              <w:t>监控安防、</w:t>
            </w:r>
            <w:r>
              <w:rPr>
                <w:rFonts w:hint="eastAsia" w:eastAsia="宋体"/>
                <w:lang w:val="zh-CN"/>
              </w:rPr>
              <w:t>信息技术</w:t>
            </w:r>
            <w:r>
              <w:rPr>
                <w:rFonts w:hint="eastAsia" w:eastAsia="宋体"/>
                <w:lang w:val="zh-CN" w:eastAsia="zh-CN"/>
              </w:rPr>
              <w:t>、</w:t>
            </w:r>
            <w:r>
              <w:rPr>
                <w:rFonts w:hint="eastAsia" w:eastAsia="宋体"/>
                <w:lang w:val="zh-CN"/>
              </w:rPr>
              <w:t>计算机网络</w:t>
            </w:r>
            <w:r>
              <w:rPr>
                <w:rFonts w:hint="eastAsia" w:eastAsia="宋体"/>
                <w:lang w:val="en-US" w:eastAsia="zh-CN"/>
              </w:rPr>
              <w:t>或信息系统集成等相关</w:t>
            </w:r>
            <w:r>
              <w:rPr>
                <w:rFonts w:hint="eastAsia" w:eastAsia="宋体"/>
                <w:lang w:val="zh-CN"/>
              </w:rPr>
              <w:t>经营</w:t>
            </w:r>
            <w:r>
              <w:rPr>
                <w:rFonts w:hint="eastAsia" w:eastAsia="宋体"/>
                <w:lang w:val="en-US" w:eastAsia="zh-CN"/>
              </w:rPr>
              <w:t>范围</w:t>
            </w:r>
            <w:r>
              <w:rPr>
                <w:rFonts w:hint="eastAsia" w:eastAsia="宋体"/>
                <w:lang w:val="zh-CN"/>
              </w:rPr>
              <w:t>。</w:t>
            </w:r>
            <w:r>
              <w:rPr>
                <w:rFonts w:hint="eastAsia" w:eastAsia="宋体"/>
              </w:rPr>
              <w:t>（</w:t>
            </w:r>
            <w:r>
              <w:rPr>
                <w:rFonts w:hint="eastAsia"/>
              </w:rPr>
              <w:t>以企业法人营业执照上的经营范围内容为准，如营业执照未显示经营范围，则须另外提供国家企业信用信息公示系统网站打印含有经营范围的企业基本资料证明）</w:t>
            </w:r>
          </w:p>
        </w:tc>
        <w:tc>
          <w:tcPr>
            <w:tcW w:w="1044" w:type="dxa"/>
            <w:vAlign w:val="center"/>
          </w:tcPr>
          <w:p>
            <w:pPr>
              <w:pStyle w:val="2"/>
            </w:pPr>
          </w:p>
        </w:tc>
        <w:tc>
          <w:tcPr>
            <w:tcW w:w="1024" w:type="dxa"/>
            <w:vAlign w:val="center"/>
          </w:tcPr>
          <w:p>
            <w:pPr>
              <w:pStyle w:val="2"/>
            </w:pPr>
          </w:p>
        </w:tc>
        <w:tc>
          <w:tcPr>
            <w:tcW w:w="1021" w:type="dxa"/>
          </w:tcPr>
          <w:p>
            <w:pPr>
              <w:pStyle w:val="2"/>
            </w:pPr>
          </w:p>
        </w:tc>
        <w:tc>
          <w:tcPr>
            <w:tcW w:w="1021" w:type="dxa"/>
          </w:tcPr>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pStyle w:val="2"/>
              <w:jc w:val="center"/>
              <w:rPr>
                <w:rFonts w:hint="eastAsia" w:eastAsia="宋体"/>
                <w:lang w:eastAsia="zh-CN"/>
              </w:rPr>
            </w:pPr>
            <w:r>
              <w:rPr>
                <w:rFonts w:hint="eastAsia"/>
                <w:lang w:val="en-US" w:eastAsia="zh-CN"/>
              </w:rPr>
              <w:t>3</w:t>
            </w:r>
          </w:p>
        </w:tc>
        <w:tc>
          <w:tcPr>
            <w:tcW w:w="5758" w:type="dxa"/>
            <w:vAlign w:val="center"/>
          </w:tcPr>
          <w:p>
            <w:pPr>
              <w:pStyle w:val="2"/>
              <w:rPr>
                <w:rFonts w:hint="eastAsia" w:eastAsia="宋体"/>
                <w:lang w:eastAsia="zh-CN"/>
              </w:rPr>
            </w:pPr>
            <w:r>
              <w:rPr>
                <w:rFonts w:hint="eastAsia"/>
              </w:rPr>
              <w:t>参评供应商所投产品涉及的公安部检测机构出具的检测报告复印件证明，加盖所投品牌厂商公章</w:t>
            </w:r>
            <w:r>
              <w:rPr>
                <w:rFonts w:hint="eastAsia"/>
                <w:lang w:eastAsia="zh-CN"/>
              </w:rPr>
              <w:t>。</w:t>
            </w:r>
          </w:p>
        </w:tc>
        <w:tc>
          <w:tcPr>
            <w:tcW w:w="1044" w:type="dxa"/>
            <w:vAlign w:val="center"/>
          </w:tcPr>
          <w:p>
            <w:pPr>
              <w:pStyle w:val="2"/>
            </w:pPr>
          </w:p>
        </w:tc>
        <w:tc>
          <w:tcPr>
            <w:tcW w:w="1024" w:type="dxa"/>
            <w:vAlign w:val="center"/>
          </w:tcPr>
          <w:p>
            <w:pPr>
              <w:pStyle w:val="2"/>
            </w:pPr>
          </w:p>
        </w:tc>
        <w:tc>
          <w:tcPr>
            <w:tcW w:w="1021" w:type="dxa"/>
          </w:tcPr>
          <w:p>
            <w:pPr>
              <w:pStyle w:val="2"/>
            </w:pPr>
          </w:p>
        </w:tc>
        <w:tc>
          <w:tcPr>
            <w:tcW w:w="1021" w:type="dxa"/>
          </w:tcPr>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pStyle w:val="2"/>
              <w:jc w:val="center"/>
              <w:rPr>
                <w:rFonts w:hint="eastAsia" w:eastAsia="宋体"/>
                <w:lang w:val="en-US" w:eastAsia="zh-CN"/>
              </w:rPr>
            </w:pPr>
            <w:r>
              <w:rPr>
                <w:rFonts w:hint="eastAsia"/>
                <w:lang w:val="en-US" w:eastAsia="zh-CN"/>
              </w:rPr>
              <w:t>4</w:t>
            </w:r>
          </w:p>
        </w:tc>
        <w:tc>
          <w:tcPr>
            <w:tcW w:w="5758" w:type="dxa"/>
            <w:vAlign w:val="center"/>
          </w:tcPr>
          <w:p>
            <w:pPr>
              <w:pStyle w:val="2"/>
              <w:rPr>
                <w:rFonts w:hint="eastAsia"/>
              </w:rPr>
            </w:pPr>
            <w:r>
              <w:rPr>
                <w:rFonts w:hint="eastAsia"/>
              </w:rPr>
              <w:t>参评供应商承诺不得以任何方式转包或分包本项目。</w:t>
            </w:r>
          </w:p>
        </w:tc>
        <w:tc>
          <w:tcPr>
            <w:tcW w:w="1044" w:type="dxa"/>
            <w:vAlign w:val="center"/>
          </w:tcPr>
          <w:p>
            <w:pPr>
              <w:pStyle w:val="2"/>
            </w:pPr>
          </w:p>
        </w:tc>
        <w:tc>
          <w:tcPr>
            <w:tcW w:w="1024" w:type="dxa"/>
            <w:vAlign w:val="center"/>
          </w:tcPr>
          <w:p>
            <w:pPr>
              <w:pStyle w:val="2"/>
            </w:pPr>
          </w:p>
        </w:tc>
        <w:tc>
          <w:tcPr>
            <w:tcW w:w="1021" w:type="dxa"/>
          </w:tcPr>
          <w:p>
            <w:pPr>
              <w:pStyle w:val="2"/>
            </w:pPr>
          </w:p>
        </w:tc>
        <w:tc>
          <w:tcPr>
            <w:tcW w:w="1021" w:type="dxa"/>
          </w:tcPr>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pStyle w:val="2"/>
              <w:jc w:val="center"/>
            </w:pPr>
            <w:r>
              <w:t>5</w:t>
            </w:r>
          </w:p>
        </w:tc>
        <w:tc>
          <w:tcPr>
            <w:tcW w:w="5758" w:type="dxa"/>
            <w:vAlign w:val="center"/>
          </w:tcPr>
          <w:p>
            <w:pPr>
              <w:pStyle w:val="2"/>
            </w:pPr>
            <w:r>
              <w:rPr>
                <w:rFonts w:hint="eastAsia"/>
              </w:rPr>
              <w:t>非联合体</w:t>
            </w:r>
            <w:r>
              <w:rPr>
                <w:rFonts w:hint="eastAsia"/>
                <w:lang w:val="en-US" w:eastAsia="zh-CN"/>
              </w:rPr>
              <w:t>潜在供应商</w:t>
            </w:r>
            <w:r>
              <w:rPr>
                <w:rFonts w:hint="eastAsia"/>
              </w:rPr>
              <w:t>参评</w:t>
            </w:r>
            <w:r>
              <w:rPr>
                <w:rFonts w:hint="eastAsia"/>
                <w:lang w:val="en-US" w:eastAsia="zh-CN"/>
              </w:rPr>
              <w:t>报价</w:t>
            </w:r>
            <w:r>
              <w:rPr>
                <w:rFonts w:hint="eastAsia"/>
              </w:rPr>
              <w:t>。</w:t>
            </w:r>
          </w:p>
        </w:tc>
        <w:tc>
          <w:tcPr>
            <w:tcW w:w="1044" w:type="dxa"/>
            <w:vAlign w:val="center"/>
          </w:tcPr>
          <w:p>
            <w:pPr>
              <w:pStyle w:val="2"/>
            </w:pPr>
          </w:p>
        </w:tc>
        <w:tc>
          <w:tcPr>
            <w:tcW w:w="1024" w:type="dxa"/>
            <w:vAlign w:val="center"/>
          </w:tcPr>
          <w:p>
            <w:pPr>
              <w:pStyle w:val="2"/>
            </w:pPr>
          </w:p>
        </w:tc>
        <w:tc>
          <w:tcPr>
            <w:tcW w:w="1021" w:type="dxa"/>
          </w:tcPr>
          <w:p>
            <w:pPr>
              <w:pStyle w:val="2"/>
            </w:pPr>
          </w:p>
        </w:tc>
        <w:tc>
          <w:tcPr>
            <w:tcW w:w="1021" w:type="dxa"/>
          </w:tcPr>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pStyle w:val="2"/>
              <w:jc w:val="center"/>
            </w:pPr>
            <w:r>
              <w:rPr>
                <w:rFonts w:hint="eastAsia"/>
              </w:rPr>
              <w:t>6</w:t>
            </w:r>
          </w:p>
        </w:tc>
        <w:tc>
          <w:tcPr>
            <w:tcW w:w="5758" w:type="dxa"/>
            <w:vAlign w:val="center"/>
          </w:tcPr>
          <w:p>
            <w:pPr>
              <w:pStyle w:val="2"/>
              <w:rPr>
                <w:rFonts w:hint="eastAsia"/>
              </w:rPr>
            </w:pPr>
            <w:r>
              <w:rPr>
                <w:rFonts w:hint="eastAsia"/>
              </w:rPr>
              <w:t>参评供应商满足本项目的主要需求，填写《需求响应表》并全部完全响应，无负偏离。</w:t>
            </w:r>
          </w:p>
        </w:tc>
        <w:tc>
          <w:tcPr>
            <w:tcW w:w="1044" w:type="dxa"/>
            <w:vAlign w:val="center"/>
          </w:tcPr>
          <w:p>
            <w:pPr>
              <w:pStyle w:val="2"/>
            </w:pPr>
          </w:p>
        </w:tc>
        <w:tc>
          <w:tcPr>
            <w:tcW w:w="1024" w:type="dxa"/>
            <w:vAlign w:val="center"/>
          </w:tcPr>
          <w:p>
            <w:pPr>
              <w:pStyle w:val="2"/>
            </w:pPr>
          </w:p>
        </w:tc>
        <w:tc>
          <w:tcPr>
            <w:tcW w:w="1021" w:type="dxa"/>
          </w:tcPr>
          <w:p>
            <w:pPr>
              <w:pStyle w:val="2"/>
            </w:pPr>
          </w:p>
        </w:tc>
        <w:tc>
          <w:tcPr>
            <w:tcW w:w="1021" w:type="dxa"/>
          </w:tcPr>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pStyle w:val="2"/>
              <w:jc w:val="center"/>
              <w:rPr>
                <w:rFonts w:hint="eastAsia" w:eastAsia="宋体"/>
                <w:lang w:eastAsia="zh-CN"/>
              </w:rPr>
            </w:pPr>
            <w:r>
              <w:rPr>
                <w:rFonts w:hint="eastAsia"/>
                <w:lang w:val="en-US" w:eastAsia="zh-CN"/>
              </w:rPr>
              <w:t>7</w:t>
            </w:r>
          </w:p>
        </w:tc>
        <w:tc>
          <w:tcPr>
            <w:tcW w:w="5758" w:type="dxa"/>
            <w:vAlign w:val="center"/>
          </w:tcPr>
          <w:p>
            <w:pPr>
              <w:pStyle w:val="2"/>
            </w:pPr>
            <w:r>
              <w:rPr>
                <w:rFonts w:hint="eastAsia"/>
              </w:rPr>
              <w:t>报价为唯一固定价且未超过报价限价。</w:t>
            </w:r>
          </w:p>
        </w:tc>
        <w:tc>
          <w:tcPr>
            <w:tcW w:w="1044" w:type="dxa"/>
            <w:vAlign w:val="center"/>
          </w:tcPr>
          <w:p>
            <w:pPr>
              <w:pStyle w:val="2"/>
            </w:pPr>
          </w:p>
        </w:tc>
        <w:tc>
          <w:tcPr>
            <w:tcW w:w="1024" w:type="dxa"/>
            <w:vAlign w:val="center"/>
          </w:tcPr>
          <w:p>
            <w:pPr>
              <w:pStyle w:val="2"/>
            </w:pPr>
          </w:p>
        </w:tc>
        <w:tc>
          <w:tcPr>
            <w:tcW w:w="1021" w:type="dxa"/>
          </w:tcPr>
          <w:p>
            <w:pPr>
              <w:pStyle w:val="2"/>
            </w:pPr>
          </w:p>
        </w:tc>
        <w:tc>
          <w:tcPr>
            <w:tcW w:w="1021" w:type="dxa"/>
          </w:tcPr>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pStyle w:val="2"/>
              <w:jc w:val="center"/>
            </w:pPr>
            <w:r>
              <w:t>8</w:t>
            </w:r>
          </w:p>
        </w:tc>
        <w:tc>
          <w:tcPr>
            <w:tcW w:w="5758" w:type="dxa"/>
            <w:vAlign w:val="center"/>
          </w:tcPr>
          <w:p>
            <w:pPr>
              <w:pStyle w:val="2"/>
            </w:pPr>
            <w:r>
              <w:rPr>
                <w:rFonts w:hint="eastAsia"/>
                <w:bCs/>
              </w:rPr>
              <w:t>符合采购文件要求的其他条件（如装订要求、密封要求、盖章签署要求等）。</w:t>
            </w:r>
          </w:p>
        </w:tc>
        <w:tc>
          <w:tcPr>
            <w:tcW w:w="1044" w:type="dxa"/>
            <w:vAlign w:val="center"/>
          </w:tcPr>
          <w:p>
            <w:pPr>
              <w:pStyle w:val="2"/>
            </w:pPr>
          </w:p>
        </w:tc>
        <w:tc>
          <w:tcPr>
            <w:tcW w:w="1024" w:type="dxa"/>
            <w:vAlign w:val="center"/>
          </w:tcPr>
          <w:p>
            <w:pPr>
              <w:pStyle w:val="2"/>
            </w:pPr>
          </w:p>
        </w:tc>
        <w:tc>
          <w:tcPr>
            <w:tcW w:w="1021" w:type="dxa"/>
          </w:tcPr>
          <w:p>
            <w:pPr>
              <w:pStyle w:val="2"/>
            </w:pPr>
          </w:p>
        </w:tc>
        <w:tc>
          <w:tcPr>
            <w:tcW w:w="1021" w:type="dxa"/>
          </w:tcPr>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64" w:type="dxa"/>
            <w:gridSpan w:val="2"/>
            <w:vAlign w:val="center"/>
          </w:tcPr>
          <w:p>
            <w:pPr>
              <w:pStyle w:val="2"/>
              <w:jc w:val="center"/>
            </w:pPr>
            <w:r>
              <w:rPr>
                <w:rFonts w:hint="eastAsia"/>
              </w:rPr>
              <w:t>评审结论</w:t>
            </w:r>
          </w:p>
        </w:tc>
        <w:tc>
          <w:tcPr>
            <w:tcW w:w="1044" w:type="dxa"/>
            <w:vAlign w:val="center"/>
          </w:tcPr>
          <w:p>
            <w:pPr>
              <w:pStyle w:val="2"/>
            </w:pPr>
          </w:p>
        </w:tc>
        <w:tc>
          <w:tcPr>
            <w:tcW w:w="1024" w:type="dxa"/>
          </w:tcPr>
          <w:p>
            <w:pPr>
              <w:pStyle w:val="2"/>
            </w:pPr>
          </w:p>
        </w:tc>
        <w:tc>
          <w:tcPr>
            <w:tcW w:w="1021" w:type="dxa"/>
          </w:tcPr>
          <w:p>
            <w:pPr>
              <w:pStyle w:val="2"/>
            </w:pPr>
          </w:p>
        </w:tc>
        <w:tc>
          <w:tcPr>
            <w:tcW w:w="1021" w:type="dxa"/>
          </w:tcPr>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464" w:type="dxa"/>
            <w:gridSpan w:val="2"/>
            <w:vAlign w:val="center"/>
          </w:tcPr>
          <w:p>
            <w:pPr>
              <w:pStyle w:val="2"/>
              <w:jc w:val="center"/>
            </w:pPr>
            <w:r>
              <w:rPr>
                <w:rFonts w:hint="eastAsia"/>
              </w:rPr>
              <w:t>不通过原因</w:t>
            </w:r>
          </w:p>
        </w:tc>
        <w:tc>
          <w:tcPr>
            <w:tcW w:w="1044" w:type="dxa"/>
            <w:vAlign w:val="center"/>
          </w:tcPr>
          <w:p>
            <w:pPr>
              <w:pStyle w:val="2"/>
            </w:pPr>
          </w:p>
        </w:tc>
        <w:tc>
          <w:tcPr>
            <w:tcW w:w="1024" w:type="dxa"/>
            <w:vAlign w:val="center"/>
          </w:tcPr>
          <w:p>
            <w:pPr>
              <w:pStyle w:val="2"/>
            </w:pPr>
          </w:p>
        </w:tc>
        <w:tc>
          <w:tcPr>
            <w:tcW w:w="1021" w:type="dxa"/>
          </w:tcPr>
          <w:p>
            <w:pPr>
              <w:pStyle w:val="2"/>
            </w:pPr>
          </w:p>
        </w:tc>
        <w:tc>
          <w:tcPr>
            <w:tcW w:w="1021" w:type="dxa"/>
          </w:tcPr>
          <w:p>
            <w:pPr>
              <w:pStyle w:val="2"/>
            </w:pPr>
          </w:p>
        </w:tc>
      </w:tr>
    </w:tbl>
    <w:p>
      <w:pPr>
        <w:pStyle w:val="2"/>
        <w:rPr>
          <w:bCs/>
        </w:rPr>
      </w:pPr>
      <w:r>
        <w:rPr>
          <w:rFonts w:hint="eastAsia"/>
          <w:bCs/>
        </w:rPr>
        <w:t>备注：</w:t>
      </w:r>
    </w:p>
    <w:p>
      <w:pPr>
        <w:pStyle w:val="2"/>
        <w:rPr>
          <w:bCs/>
        </w:rPr>
      </w:pPr>
      <w:r>
        <w:rPr>
          <w:rFonts w:hint="eastAsia"/>
          <w:bCs/>
        </w:rPr>
        <w:t>1．</w:t>
      </w:r>
      <w:r>
        <w:rPr>
          <w:rFonts w:hint="eastAsia"/>
          <w:bCs/>
          <w:lang w:val="en-US" w:eastAsia="zh-CN"/>
        </w:rPr>
        <w:t>定价小组</w:t>
      </w:r>
      <w:r>
        <w:rPr>
          <w:rFonts w:hint="eastAsia"/>
          <w:bCs/>
        </w:rPr>
        <w:t>会对参评</w:t>
      </w:r>
      <w:r>
        <w:rPr>
          <w:rFonts w:hint="default"/>
          <w:bCs/>
          <w:lang w:val="en-US"/>
        </w:rPr>
        <w:t>供应</w:t>
      </w:r>
      <w:r>
        <w:rPr>
          <w:rFonts w:hint="eastAsia"/>
          <w:bCs/>
        </w:rPr>
        <w:t>商是否满足要求逐条标注评审意见，符合的打“〇”，不符合的打“×”；</w:t>
      </w:r>
    </w:p>
    <w:p>
      <w:pPr>
        <w:pStyle w:val="2"/>
        <w:rPr>
          <w:bCs/>
        </w:rPr>
      </w:pPr>
      <w:r>
        <w:rPr>
          <w:rFonts w:hint="eastAsia"/>
          <w:bCs/>
        </w:rPr>
        <w:t>2．全部打“〇”的，评审结论栏填写“通过”；出现一项“×”，评审结论填写“不通过”，对评审结论为“不通过”的要说明原因。</w:t>
      </w:r>
    </w:p>
    <w:p>
      <w:pPr>
        <w:pStyle w:val="2"/>
        <w:rPr>
          <w:bCs/>
        </w:rPr>
      </w:pPr>
      <w:r>
        <w:rPr>
          <w:rFonts w:hint="eastAsia"/>
          <w:bCs/>
        </w:rPr>
        <w:t>3．评审结论为“通过”的，方可参与下一阶段的评审。</w:t>
      </w:r>
    </w:p>
    <w:p>
      <w:pPr>
        <w:pStyle w:val="3"/>
        <w:rPr>
          <w:rFonts w:hint="eastAsia"/>
        </w:rPr>
      </w:pPr>
    </w:p>
    <w:p>
      <w:pPr>
        <w:pStyle w:val="2"/>
        <w:rPr>
          <w:bCs/>
        </w:rPr>
      </w:pPr>
      <w:r>
        <w:rPr>
          <w:rFonts w:hint="eastAsia" w:ascii="宋体" w:hAnsi="宋体" w:cs="宋体"/>
          <w:sz w:val="24"/>
          <w:lang w:val="en-US" w:eastAsia="zh-CN"/>
        </w:rPr>
        <w:t>定价小组</w:t>
      </w:r>
      <w:r>
        <w:rPr>
          <w:rFonts w:hint="eastAsia"/>
          <w:bCs/>
        </w:rPr>
        <w:t>全体成员签名：                         评审日期：</w:t>
      </w:r>
    </w:p>
    <w:p>
      <w:pPr>
        <w:pStyle w:val="2"/>
      </w:pPr>
    </w:p>
    <w:p>
      <w:pPr>
        <w:pStyle w:val="2"/>
        <w:rPr>
          <w:rFonts w:hint="eastAsia"/>
        </w:rPr>
      </w:pPr>
    </w:p>
    <w:p>
      <w:pPr>
        <w:pStyle w:val="3"/>
      </w:pPr>
    </w:p>
    <w:p>
      <w:pPr>
        <w:rPr>
          <w:rFonts w:ascii="宋体" w:hAnsi="宋体" w:cs="宋体"/>
          <w:sz w:val="24"/>
        </w:rPr>
      </w:pPr>
      <w:r>
        <w:rPr>
          <w:rFonts w:hint="eastAsia" w:ascii="宋体" w:hAnsi="宋体" w:cs="宋体"/>
          <w:sz w:val="24"/>
        </w:rPr>
        <w:t xml:space="preserve">   五、价格评分汇总表</w:t>
      </w:r>
    </w:p>
    <w:p>
      <w:pPr>
        <w:pStyle w:val="77"/>
        <w:spacing w:line="240" w:lineRule="auto"/>
      </w:pPr>
    </w:p>
    <w:p>
      <w:pPr>
        <w:jc w:val="center"/>
        <w:rPr>
          <w:rFonts w:ascii="宋体" w:hAnsi="宋体" w:cs="宋体"/>
          <w:sz w:val="24"/>
        </w:rPr>
      </w:pPr>
      <w:r>
        <w:rPr>
          <w:rFonts w:hint="eastAsia" w:ascii="宋体" w:hAnsi="宋体" w:cs="宋体"/>
          <w:b/>
          <w:bCs/>
          <w:sz w:val="44"/>
          <w:szCs w:val="44"/>
        </w:rPr>
        <w:t>价格评分汇总表</w:t>
      </w:r>
    </w:p>
    <w:p>
      <w:pPr>
        <w:rPr>
          <w:rFonts w:ascii="宋体" w:hAnsi="宋体" w:cs="宋体"/>
          <w:sz w:val="24"/>
        </w:rPr>
      </w:pPr>
    </w:p>
    <w:tbl>
      <w:tblPr>
        <w:tblStyle w:val="31"/>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4275"/>
        <w:gridCol w:w="1968"/>
        <w:gridCol w:w="1297"/>
        <w:gridCol w:w="840"/>
        <w:gridCol w:w="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454" w:hRule="atLeast"/>
          <w:jc w:val="center"/>
        </w:trPr>
        <w:tc>
          <w:tcPr>
            <w:tcW w:w="810" w:type="dxa"/>
            <w:vAlign w:val="center"/>
          </w:tcPr>
          <w:p>
            <w:pPr>
              <w:jc w:val="center"/>
              <w:rPr>
                <w:rFonts w:ascii="宋体" w:hAnsi="宋体" w:cs="宋体"/>
                <w:sz w:val="24"/>
              </w:rPr>
            </w:pPr>
            <w:r>
              <w:rPr>
                <w:rFonts w:hint="eastAsia" w:ascii="宋体" w:hAnsi="宋体" w:cs="宋体"/>
                <w:sz w:val="24"/>
              </w:rPr>
              <w:t>序号</w:t>
            </w:r>
          </w:p>
        </w:tc>
        <w:tc>
          <w:tcPr>
            <w:tcW w:w="4275" w:type="dxa"/>
            <w:vAlign w:val="center"/>
          </w:tcPr>
          <w:p>
            <w:pPr>
              <w:jc w:val="center"/>
              <w:rPr>
                <w:rFonts w:ascii="宋体" w:hAnsi="宋体" w:cs="宋体"/>
                <w:sz w:val="24"/>
              </w:rPr>
            </w:pPr>
            <w:r>
              <w:rPr>
                <w:rFonts w:hint="eastAsia" w:ascii="宋体" w:hAnsi="宋体" w:cs="宋体"/>
                <w:sz w:val="24"/>
              </w:rPr>
              <w:t>参评</w:t>
            </w:r>
            <w:r>
              <w:rPr>
                <w:rFonts w:hint="default" w:ascii="宋体" w:hAnsi="宋体" w:cs="宋体"/>
                <w:sz w:val="24"/>
                <w:lang w:val="en-US"/>
              </w:rPr>
              <w:t>供应</w:t>
            </w:r>
            <w:r>
              <w:rPr>
                <w:rFonts w:hint="eastAsia" w:ascii="宋体" w:hAnsi="宋体" w:cs="宋体"/>
                <w:sz w:val="24"/>
              </w:rPr>
              <w:t>商名称</w:t>
            </w:r>
          </w:p>
          <w:p>
            <w:pPr>
              <w:jc w:val="center"/>
              <w:rPr>
                <w:rFonts w:ascii="宋体" w:hAnsi="宋体" w:cs="宋体"/>
                <w:sz w:val="24"/>
              </w:rPr>
            </w:pPr>
            <w:r>
              <w:rPr>
                <w:rFonts w:hint="eastAsia" w:ascii="宋体" w:hAnsi="宋体" w:cs="宋体"/>
                <w:sz w:val="24"/>
              </w:rPr>
              <w:t>（按报名顺序排列）</w:t>
            </w:r>
          </w:p>
        </w:tc>
        <w:tc>
          <w:tcPr>
            <w:tcW w:w="1968" w:type="dxa"/>
            <w:vAlign w:val="center"/>
          </w:tcPr>
          <w:p>
            <w:pPr>
              <w:jc w:val="center"/>
              <w:rPr>
                <w:rFonts w:ascii="宋体" w:hAnsi="宋体" w:cs="宋体"/>
                <w:sz w:val="24"/>
              </w:rPr>
            </w:pPr>
            <w:r>
              <w:rPr>
                <w:rFonts w:hint="eastAsia" w:ascii="宋体" w:hAnsi="宋体" w:cs="宋体"/>
                <w:szCs w:val="21"/>
              </w:rPr>
              <w:t>报价金额（元）</w:t>
            </w:r>
          </w:p>
        </w:tc>
        <w:tc>
          <w:tcPr>
            <w:tcW w:w="1297" w:type="dxa"/>
            <w:vAlign w:val="center"/>
          </w:tcPr>
          <w:p>
            <w:pPr>
              <w:jc w:val="center"/>
              <w:rPr>
                <w:rFonts w:ascii="宋体" w:hAnsi="宋体" w:cs="宋体"/>
                <w:sz w:val="24"/>
              </w:rPr>
            </w:pPr>
            <w:r>
              <w:rPr>
                <w:rFonts w:hint="eastAsia" w:ascii="宋体" w:hAnsi="宋体" w:cs="宋体"/>
                <w:szCs w:val="21"/>
              </w:rPr>
              <w:t>排名</w:t>
            </w:r>
          </w:p>
        </w:tc>
        <w:tc>
          <w:tcPr>
            <w:tcW w:w="840" w:type="dxa"/>
            <w:vAlign w:val="center"/>
          </w:tcPr>
          <w:p>
            <w:pPr>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0" w:type="dxa"/>
            <w:vAlign w:val="center"/>
          </w:tcPr>
          <w:p>
            <w:pPr>
              <w:jc w:val="center"/>
              <w:rPr>
                <w:rFonts w:ascii="宋体" w:hAnsi="宋体" w:cs="宋体"/>
                <w:sz w:val="24"/>
              </w:rPr>
            </w:pPr>
            <w:r>
              <w:rPr>
                <w:rFonts w:hint="eastAsia" w:ascii="宋体" w:hAnsi="宋体" w:cs="宋体"/>
                <w:sz w:val="24"/>
              </w:rPr>
              <w:t>1</w:t>
            </w:r>
          </w:p>
        </w:tc>
        <w:tc>
          <w:tcPr>
            <w:tcW w:w="4275" w:type="dxa"/>
            <w:vAlign w:val="center"/>
          </w:tcPr>
          <w:p>
            <w:pPr>
              <w:jc w:val="center"/>
              <w:rPr>
                <w:rFonts w:ascii="宋体" w:hAnsi="宋体" w:cs="宋体"/>
                <w:sz w:val="24"/>
              </w:rPr>
            </w:pPr>
            <w:r>
              <w:rPr>
                <w:rFonts w:hint="eastAsia" w:ascii="宋体" w:hAnsi="宋体" w:cs="宋体"/>
                <w:sz w:val="24"/>
              </w:rPr>
              <w:t>供应商A</w:t>
            </w:r>
          </w:p>
        </w:tc>
        <w:tc>
          <w:tcPr>
            <w:tcW w:w="1968" w:type="dxa"/>
            <w:vAlign w:val="center"/>
          </w:tcPr>
          <w:p>
            <w:pPr>
              <w:jc w:val="center"/>
              <w:rPr>
                <w:rFonts w:ascii="宋体" w:hAnsi="宋体" w:cs="宋体"/>
                <w:sz w:val="24"/>
              </w:rPr>
            </w:pPr>
          </w:p>
        </w:tc>
        <w:tc>
          <w:tcPr>
            <w:tcW w:w="1297" w:type="dxa"/>
            <w:vAlign w:val="center"/>
          </w:tcPr>
          <w:p>
            <w:pPr>
              <w:jc w:val="center"/>
              <w:rPr>
                <w:rFonts w:ascii="宋体" w:hAnsi="宋体" w:cs="宋体"/>
                <w:sz w:val="24"/>
              </w:rPr>
            </w:pPr>
          </w:p>
        </w:tc>
        <w:tc>
          <w:tcPr>
            <w:tcW w:w="864" w:type="dxa"/>
            <w:gridSpan w:val="2"/>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0" w:type="dxa"/>
            <w:vAlign w:val="center"/>
          </w:tcPr>
          <w:p>
            <w:pPr>
              <w:jc w:val="center"/>
              <w:rPr>
                <w:rFonts w:ascii="宋体" w:hAnsi="宋体" w:cs="宋体"/>
                <w:sz w:val="24"/>
              </w:rPr>
            </w:pPr>
            <w:r>
              <w:rPr>
                <w:rFonts w:hint="eastAsia" w:ascii="宋体" w:hAnsi="宋体" w:cs="宋体"/>
                <w:sz w:val="24"/>
              </w:rPr>
              <w:t>2</w:t>
            </w:r>
          </w:p>
        </w:tc>
        <w:tc>
          <w:tcPr>
            <w:tcW w:w="4275" w:type="dxa"/>
            <w:vAlign w:val="center"/>
          </w:tcPr>
          <w:p>
            <w:pPr>
              <w:jc w:val="center"/>
              <w:rPr>
                <w:rFonts w:ascii="宋体" w:hAnsi="宋体" w:cs="宋体"/>
                <w:sz w:val="24"/>
              </w:rPr>
            </w:pPr>
            <w:r>
              <w:rPr>
                <w:rFonts w:hint="eastAsia" w:ascii="宋体" w:hAnsi="宋体" w:cs="宋体"/>
                <w:sz w:val="24"/>
              </w:rPr>
              <w:t>供应商B</w:t>
            </w:r>
          </w:p>
        </w:tc>
        <w:tc>
          <w:tcPr>
            <w:tcW w:w="1968" w:type="dxa"/>
            <w:vAlign w:val="center"/>
          </w:tcPr>
          <w:p>
            <w:pPr>
              <w:jc w:val="center"/>
              <w:rPr>
                <w:rFonts w:ascii="宋体" w:hAnsi="宋体" w:cs="宋体"/>
                <w:sz w:val="24"/>
              </w:rPr>
            </w:pPr>
          </w:p>
        </w:tc>
        <w:tc>
          <w:tcPr>
            <w:tcW w:w="1297" w:type="dxa"/>
            <w:vAlign w:val="center"/>
          </w:tcPr>
          <w:p>
            <w:pPr>
              <w:jc w:val="center"/>
              <w:rPr>
                <w:rFonts w:ascii="宋体" w:hAnsi="宋体" w:cs="宋体"/>
                <w:sz w:val="24"/>
              </w:rPr>
            </w:pPr>
          </w:p>
        </w:tc>
        <w:tc>
          <w:tcPr>
            <w:tcW w:w="864" w:type="dxa"/>
            <w:gridSpan w:val="2"/>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0" w:type="dxa"/>
            <w:vAlign w:val="center"/>
          </w:tcPr>
          <w:p>
            <w:pPr>
              <w:jc w:val="center"/>
              <w:rPr>
                <w:rFonts w:ascii="宋体" w:hAnsi="宋体" w:cs="宋体"/>
                <w:sz w:val="24"/>
              </w:rPr>
            </w:pPr>
            <w:r>
              <w:rPr>
                <w:rFonts w:hint="eastAsia" w:ascii="宋体" w:hAnsi="宋体" w:cs="宋体"/>
                <w:sz w:val="24"/>
              </w:rPr>
              <w:t>3</w:t>
            </w:r>
          </w:p>
        </w:tc>
        <w:tc>
          <w:tcPr>
            <w:tcW w:w="4275" w:type="dxa"/>
            <w:vAlign w:val="center"/>
          </w:tcPr>
          <w:p>
            <w:pPr>
              <w:jc w:val="center"/>
              <w:rPr>
                <w:rFonts w:ascii="宋体" w:hAnsi="宋体" w:cs="宋体"/>
                <w:sz w:val="24"/>
              </w:rPr>
            </w:pPr>
            <w:r>
              <w:rPr>
                <w:rFonts w:hint="eastAsia" w:ascii="宋体" w:hAnsi="宋体" w:cs="宋体"/>
                <w:sz w:val="24"/>
              </w:rPr>
              <w:t>供应商C</w:t>
            </w:r>
          </w:p>
        </w:tc>
        <w:tc>
          <w:tcPr>
            <w:tcW w:w="1968" w:type="dxa"/>
            <w:vAlign w:val="center"/>
          </w:tcPr>
          <w:p>
            <w:pPr>
              <w:jc w:val="center"/>
              <w:rPr>
                <w:rFonts w:ascii="宋体" w:hAnsi="宋体" w:cs="宋体"/>
                <w:sz w:val="24"/>
              </w:rPr>
            </w:pPr>
          </w:p>
        </w:tc>
        <w:tc>
          <w:tcPr>
            <w:tcW w:w="1297" w:type="dxa"/>
            <w:vAlign w:val="center"/>
          </w:tcPr>
          <w:p>
            <w:pPr>
              <w:jc w:val="center"/>
              <w:rPr>
                <w:rFonts w:ascii="宋体" w:hAnsi="宋体" w:cs="宋体"/>
                <w:sz w:val="24"/>
              </w:rPr>
            </w:pPr>
          </w:p>
        </w:tc>
        <w:tc>
          <w:tcPr>
            <w:tcW w:w="864" w:type="dxa"/>
            <w:gridSpan w:val="2"/>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0" w:type="dxa"/>
            <w:vAlign w:val="center"/>
          </w:tcPr>
          <w:p>
            <w:pPr>
              <w:jc w:val="center"/>
              <w:rPr>
                <w:rFonts w:ascii="宋体" w:hAnsi="宋体" w:cs="宋体"/>
                <w:sz w:val="24"/>
              </w:rPr>
            </w:pPr>
          </w:p>
        </w:tc>
        <w:tc>
          <w:tcPr>
            <w:tcW w:w="4275" w:type="dxa"/>
            <w:vAlign w:val="center"/>
          </w:tcPr>
          <w:p>
            <w:pPr>
              <w:jc w:val="center"/>
              <w:rPr>
                <w:rFonts w:ascii="宋体" w:hAnsi="宋体" w:cs="宋体"/>
                <w:sz w:val="24"/>
              </w:rPr>
            </w:pPr>
            <w:r>
              <w:rPr>
                <w:rFonts w:hint="eastAsia" w:ascii="宋体" w:hAnsi="宋体" w:cs="宋体"/>
                <w:sz w:val="24"/>
              </w:rPr>
              <w:t>……</w:t>
            </w:r>
          </w:p>
        </w:tc>
        <w:tc>
          <w:tcPr>
            <w:tcW w:w="1968" w:type="dxa"/>
            <w:vAlign w:val="center"/>
          </w:tcPr>
          <w:p>
            <w:pPr>
              <w:jc w:val="center"/>
              <w:rPr>
                <w:rFonts w:ascii="宋体" w:hAnsi="宋体" w:cs="宋体"/>
                <w:sz w:val="24"/>
              </w:rPr>
            </w:pPr>
          </w:p>
        </w:tc>
        <w:tc>
          <w:tcPr>
            <w:tcW w:w="1297" w:type="dxa"/>
            <w:vAlign w:val="center"/>
          </w:tcPr>
          <w:p>
            <w:pPr>
              <w:jc w:val="center"/>
              <w:rPr>
                <w:rFonts w:ascii="宋体" w:hAnsi="宋体" w:cs="宋体"/>
                <w:sz w:val="24"/>
              </w:rPr>
            </w:pPr>
          </w:p>
        </w:tc>
        <w:tc>
          <w:tcPr>
            <w:tcW w:w="864" w:type="dxa"/>
            <w:gridSpan w:val="2"/>
            <w:vAlign w:val="center"/>
          </w:tcPr>
          <w:p>
            <w:pPr>
              <w:jc w:val="center"/>
              <w:rPr>
                <w:rFonts w:ascii="宋体" w:hAnsi="宋体" w:cs="宋体"/>
                <w:sz w:val="24"/>
              </w:rPr>
            </w:pPr>
          </w:p>
        </w:tc>
      </w:tr>
    </w:tbl>
    <w:p>
      <w:pPr>
        <w:adjustRightInd w:val="0"/>
        <w:snapToGrid w:val="0"/>
        <w:rPr>
          <w:rFonts w:ascii="宋体" w:hAnsi="宋体" w:cs="宋体"/>
          <w:b/>
          <w:sz w:val="24"/>
        </w:rPr>
      </w:pPr>
      <w:r>
        <w:rPr>
          <w:rFonts w:hint="eastAsia" w:ascii="宋体" w:hAnsi="宋体" w:cs="宋体"/>
          <w:b/>
          <w:sz w:val="24"/>
        </w:rPr>
        <w:t>注：上述表格可手写或打印，但不能涂改。</w:t>
      </w:r>
    </w:p>
    <w:p>
      <w:pPr>
        <w:adjustRightInd w:val="0"/>
        <w:snapToGrid w:val="0"/>
        <w:spacing w:line="560" w:lineRule="exact"/>
        <w:rPr>
          <w:rFonts w:ascii="宋体" w:hAnsi="宋体" w:cs="宋体"/>
          <w:bCs/>
          <w:sz w:val="24"/>
        </w:rPr>
      </w:pPr>
    </w:p>
    <w:p>
      <w:pPr>
        <w:adjustRightInd w:val="0"/>
        <w:snapToGrid w:val="0"/>
        <w:spacing w:line="560" w:lineRule="exact"/>
        <w:rPr>
          <w:rFonts w:ascii="宋体" w:hAnsi="宋体" w:cs="宋体"/>
          <w:bCs/>
          <w:sz w:val="24"/>
        </w:rPr>
      </w:pPr>
      <w:r>
        <w:rPr>
          <w:rFonts w:hint="eastAsia" w:ascii="宋体" w:hAnsi="宋体" w:cs="宋体"/>
          <w:sz w:val="24"/>
          <w:lang w:val="en-US" w:eastAsia="zh-CN"/>
        </w:rPr>
        <w:t>定价小组</w:t>
      </w:r>
      <w:r>
        <w:rPr>
          <w:rFonts w:hint="eastAsia" w:ascii="宋体" w:hAnsi="宋体" w:cs="宋体"/>
          <w:sz w:val="24"/>
        </w:rPr>
        <w:t>全体</w:t>
      </w:r>
      <w:r>
        <w:rPr>
          <w:rFonts w:hint="eastAsia" w:ascii="宋体" w:hAnsi="宋体" w:cs="宋体"/>
          <w:bCs/>
          <w:sz w:val="24"/>
        </w:rPr>
        <w:t xml:space="preserve">成员签名：                  </w:t>
      </w:r>
    </w:p>
    <w:p>
      <w:pPr>
        <w:adjustRightInd w:val="0"/>
        <w:snapToGrid w:val="0"/>
        <w:spacing w:line="560" w:lineRule="exact"/>
        <w:rPr>
          <w:rFonts w:ascii="宋体" w:hAnsi="宋体" w:cs="宋体"/>
          <w:bCs/>
          <w:sz w:val="24"/>
        </w:rPr>
      </w:pPr>
      <w:r>
        <w:rPr>
          <w:rFonts w:hint="eastAsia" w:ascii="宋体" w:hAnsi="宋体" w:cs="宋体"/>
          <w:bCs/>
          <w:sz w:val="24"/>
        </w:rPr>
        <w:t>评审日期：</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pStyle w:val="29"/>
      </w:pPr>
    </w:p>
    <w:p/>
    <w:p>
      <w:pPr>
        <w:pStyle w:val="77"/>
      </w:pPr>
    </w:p>
    <w:p>
      <w:pPr>
        <w:pStyle w:val="77"/>
      </w:pPr>
    </w:p>
    <w:p>
      <w:pPr>
        <w:pStyle w:val="77"/>
      </w:pPr>
    </w:p>
    <w:p>
      <w:pPr>
        <w:pStyle w:val="77"/>
      </w:pPr>
    </w:p>
    <w:p>
      <w:pPr>
        <w:sectPr>
          <w:footerReference r:id="rId3" w:type="default"/>
          <w:pgSz w:w="11907" w:h="16840"/>
          <w:pgMar w:top="1134" w:right="1417" w:bottom="1134" w:left="1417" w:header="624" w:footer="992" w:gutter="0"/>
          <w:pgBorders>
            <w:top w:val="none" w:sz="0" w:space="0"/>
            <w:left w:val="none" w:sz="0" w:space="0"/>
            <w:bottom w:val="none" w:sz="0" w:space="0"/>
            <w:right w:val="none" w:sz="0" w:space="0"/>
          </w:pgBorders>
          <w:pgNumType w:fmt="decimal"/>
          <w:cols w:space="720" w:num="1"/>
          <w:docGrid w:linePitch="312" w:charSpace="0"/>
        </w:sectPr>
      </w:pPr>
    </w:p>
    <w:p>
      <w:pPr>
        <w:ind w:firstLine="420" w:firstLineChars="200"/>
        <w:rPr>
          <w:rFonts w:ascii="宋体" w:hAnsi="宋体" w:cs="宋体"/>
          <w:sz w:val="24"/>
        </w:rPr>
      </w:pPr>
      <w:r>
        <w:rPr>
          <w:rFonts w:hint="eastAsia"/>
        </w:rPr>
        <w:t>六</w:t>
      </w:r>
      <w:r>
        <w:rPr>
          <w:rFonts w:hint="eastAsia" w:ascii="宋体" w:hAnsi="宋体" w:cs="宋体"/>
          <w:sz w:val="24"/>
        </w:rPr>
        <w:t>、评审结果汇总表</w:t>
      </w:r>
    </w:p>
    <w:p>
      <w:pPr>
        <w:rPr>
          <w:rFonts w:ascii="宋体" w:hAnsi="宋体" w:cs="宋体"/>
          <w:sz w:val="24"/>
        </w:rPr>
      </w:pPr>
    </w:p>
    <w:p>
      <w:pPr>
        <w:adjustRightInd w:val="0"/>
        <w:snapToGrid w:val="0"/>
        <w:spacing w:line="560" w:lineRule="exact"/>
        <w:jc w:val="center"/>
        <w:rPr>
          <w:rFonts w:ascii="宋体" w:hAnsi="宋体" w:cs="宋体"/>
          <w:b/>
          <w:bCs/>
          <w:sz w:val="44"/>
          <w:szCs w:val="44"/>
        </w:rPr>
      </w:pPr>
      <w:r>
        <w:rPr>
          <w:rFonts w:hint="eastAsia" w:ascii="宋体" w:hAnsi="宋体" w:cs="宋体"/>
          <w:b/>
          <w:bCs/>
          <w:sz w:val="44"/>
          <w:szCs w:val="44"/>
        </w:rPr>
        <w:t>评审结果汇总表</w:t>
      </w:r>
    </w:p>
    <w:p>
      <w:pPr>
        <w:rPr>
          <w:rFonts w:ascii="宋体" w:hAnsi="宋体" w:cs="宋体"/>
          <w:sz w:val="24"/>
        </w:rPr>
      </w:pPr>
    </w:p>
    <w:tbl>
      <w:tblPr>
        <w:tblStyle w:val="31"/>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720"/>
        <w:gridCol w:w="1080"/>
        <w:gridCol w:w="2542"/>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4" w:type="dxa"/>
            <w:vAlign w:val="center"/>
          </w:tcPr>
          <w:p>
            <w:pPr>
              <w:jc w:val="center"/>
              <w:rPr>
                <w:rFonts w:ascii="宋体" w:hAnsi="宋体" w:cs="宋体"/>
                <w:sz w:val="24"/>
              </w:rPr>
            </w:pPr>
            <w:r>
              <w:rPr>
                <w:rFonts w:hint="eastAsia" w:ascii="宋体" w:hAnsi="宋体" w:cs="宋体"/>
                <w:sz w:val="24"/>
              </w:rPr>
              <w:t>序号</w:t>
            </w:r>
          </w:p>
        </w:tc>
        <w:tc>
          <w:tcPr>
            <w:tcW w:w="3720" w:type="dxa"/>
            <w:vAlign w:val="center"/>
          </w:tcPr>
          <w:p>
            <w:pPr>
              <w:jc w:val="center"/>
              <w:rPr>
                <w:rFonts w:ascii="宋体" w:hAnsi="宋体" w:cs="宋体"/>
                <w:sz w:val="24"/>
              </w:rPr>
            </w:pPr>
            <w:r>
              <w:rPr>
                <w:rFonts w:hint="eastAsia" w:ascii="宋体" w:hAnsi="宋体" w:cs="宋体"/>
                <w:sz w:val="24"/>
              </w:rPr>
              <w:t>参评</w:t>
            </w:r>
            <w:r>
              <w:rPr>
                <w:rFonts w:hint="default" w:ascii="宋体" w:hAnsi="宋体" w:cs="宋体"/>
                <w:sz w:val="24"/>
                <w:lang w:val="en-US"/>
              </w:rPr>
              <w:t>供应</w:t>
            </w:r>
            <w:r>
              <w:rPr>
                <w:rFonts w:hint="eastAsia" w:ascii="宋体" w:hAnsi="宋体" w:cs="宋体"/>
                <w:sz w:val="24"/>
              </w:rPr>
              <w:t>商名称</w:t>
            </w:r>
          </w:p>
          <w:p>
            <w:pPr>
              <w:jc w:val="center"/>
              <w:rPr>
                <w:rFonts w:ascii="宋体" w:hAnsi="宋体" w:cs="宋体"/>
                <w:sz w:val="24"/>
              </w:rPr>
            </w:pPr>
            <w:r>
              <w:rPr>
                <w:rFonts w:hint="eastAsia" w:ascii="宋体" w:hAnsi="宋体" w:cs="宋体"/>
                <w:sz w:val="24"/>
              </w:rPr>
              <w:t>（按报名顺序排列）</w:t>
            </w:r>
          </w:p>
        </w:tc>
        <w:tc>
          <w:tcPr>
            <w:tcW w:w="1080" w:type="dxa"/>
            <w:vAlign w:val="center"/>
          </w:tcPr>
          <w:p>
            <w:pPr>
              <w:jc w:val="center"/>
              <w:rPr>
                <w:rFonts w:ascii="宋体" w:hAnsi="宋体" w:cs="宋体"/>
                <w:sz w:val="24"/>
              </w:rPr>
            </w:pPr>
            <w:r>
              <w:rPr>
                <w:rFonts w:hint="eastAsia" w:ascii="宋体" w:hAnsi="宋体" w:cs="宋体"/>
                <w:sz w:val="24"/>
              </w:rPr>
              <w:t>资格评审情况</w:t>
            </w:r>
          </w:p>
        </w:tc>
        <w:tc>
          <w:tcPr>
            <w:tcW w:w="2542" w:type="dxa"/>
            <w:vAlign w:val="center"/>
          </w:tcPr>
          <w:p>
            <w:pPr>
              <w:jc w:val="center"/>
              <w:rPr>
                <w:rFonts w:ascii="宋体" w:hAnsi="宋体" w:cs="宋体"/>
                <w:szCs w:val="21"/>
              </w:rPr>
            </w:pPr>
            <w:r>
              <w:rPr>
                <w:rFonts w:hint="eastAsia" w:ascii="宋体" w:hAnsi="宋体" w:cs="宋体"/>
                <w:szCs w:val="21"/>
              </w:rPr>
              <w:t>报价金额（元）</w:t>
            </w:r>
          </w:p>
        </w:tc>
        <w:tc>
          <w:tcPr>
            <w:tcW w:w="1054" w:type="dxa"/>
            <w:vAlign w:val="center"/>
          </w:tcPr>
          <w:p>
            <w:pPr>
              <w:jc w:val="center"/>
              <w:rPr>
                <w:rFonts w:ascii="宋体" w:hAnsi="宋体" w:cs="宋体"/>
                <w:sz w:val="24"/>
              </w:rPr>
            </w:pPr>
            <w:r>
              <w:rPr>
                <w:rFonts w:hint="eastAsia" w:ascii="宋体" w:hAnsi="宋体" w:cs="宋体"/>
                <w:sz w:val="24"/>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4" w:type="dxa"/>
            <w:vAlign w:val="center"/>
          </w:tcPr>
          <w:p>
            <w:pPr>
              <w:jc w:val="center"/>
              <w:rPr>
                <w:rFonts w:ascii="宋体" w:hAnsi="宋体" w:cs="宋体"/>
                <w:sz w:val="24"/>
              </w:rPr>
            </w:pPr>
            <w:r>
              <w:rPr>
                <w:rFonts w:hint="eastAsia" w:ascii="宋体" w:hAnsi="宋体" w:cs="宋体"/>
                <w:sz w:val="24"/>
              </w:rPr>
              <w:t>1</w:t>
            </w:r>
          </w:p>
        </w:tc>
        <w:tc>
          <w:tcPr>
            <w:tcW w:w="3720" w:type="dxa"/>
            <w:vAlign w:val="center"/>
          </w:tcPr>
          <w:p>
            <w:pPr>
              <w:jc w:val="center"/>
              <w:rPr>
                <w:rFonts w:ascii="宋体" w:hAnsi="宋体" w:cs="宋体"/>
                <w:sz w:val="24"/>
              </w:rPr>
            </w:pPr>
            <w:r>
              <w:rPr>
                <w:rFonts w:hint="default" w:ascii="宋体" w:hAnsi="宋体" w:cs="宋体"/>
                <w:sz w:val="24"/>
                <w:lang w:val="en-US"/>
              </w:rPr>
              <w:t>供应</w:t>
            </w:r>
            <w:r>
              <w:rPr>
                <w:rFonts w:hint="eastAsia" w:ascii="宋体" w:hAnsi="宋体" w:cs="宋体"/>
                <w:sz w:val="24"/>
              </w:rPr>
              <w:t>商A</w:t>
            </w:r>
          </w:p>
        </w:tc>
        <w:tc>
          <w:tcPr>
            <w:tcW w:w="1080" w:type="dxa"/>
            <w:vAlign w:val="center"/>
          </w:tcPr>
          <w:p>
            <w:pPr>
              <w:jc w:val="center"/>
              <w:rPr>
                <w:rFonts w:ascii="宋体" w:hAnsi="宋体" w:cs="宋体"/>
                <w:sz w:val="24"/>
              </w:rPr>
            </w:pPr>
          </w:p>
        </w:tc>
        <w:tc>
          <w:tcPr>
            <w:tcW w:w="2542" w:type="dxa"/>
            <w:vAlign w:val="center"/>
          </w:tcPr>
          <w:p>
            <w:pPr>
              <w:jc w:val="center"/>
              <w:rPr>
                <w:rFonts w:ascii="宋体" w:hAnsi="宋体" w:cs="宋体"/>
                <w:szCs w:val="21"/>
              </w:rPr>
            </w:pPr>
          </w:p>
        </w:tc>
        <w:tc>
          <w:tcPr>
            <w:tcW w:w="1054"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04" w:type="dxa"/>
            <w:vAlign w:val="center"/>
          </w:tcPr>
          <w:p>
            <w:pPr>
              <w:jc w:val="center"/>
              <w:rPr>
                <w:rFonts w:ascii="宋体" w:hAnsi="宋体" w:cs="宋体"/>
                <w:sz w:val="24"/>
              </w:rPr>
            </w:pPr>
            <w:r>
              <w:rPr>
                <w:rFonts w:hint="eastAsia" w:ascii="宋体" w:hAnsi="宋体" w:cs="宋体"/>
                <w:sz w:val="24"/>
              </w:rPr>
              <w:t>2</w:t>
            </w:r>
          </w:p>
        </w:tc>
        <w:tc>
          <w:tcPr>
            <w:tcW w:w="3720" w:type="dxa"/>
            <w:vAlign w:val="center"/>
          </w:tcPr>
          <w:p>
            <w:pPr>
              <w:jc w:val="center"/>
              <w:rPr>
                <w:rFonts w:ascii="宋体" w:hAnsi="宋体" w:cs="宋体"/>
                <w:sz w:val="24"/>
              </w:rPr>
            </w:pPr>
            <w:r>
              <w:rPr>
                <w:rFonts w:hint="eastAsia" w:ascii="宋体" w:hAnsi="宋体" w:cs="宋体"/>
                <w:sz w:val="24"/>
              </w:rPr>
              <w:t>供应商B</w:t>
            </w:r>
          </w:p>
        </w:tc>
        <w:tc>
          <w:tcPr>
            <w:tcW w:w="1080" w:type="dxa"/>
            <w:vAlign w:val="center"/>
          </w:tcPr>
          <w:p>
            <w:pPr>
              <w:jc w:val="center"/>
              <w:rPr>
                <w:rFonts w:ascii="宋体" w:hAnsi="宋体" w:cs="宋体"/>
                <w:sz w:val="24"/>
              </w:rPr>
            </w:pPr>
          </w:p>
        </w:tc>
        <w:tc>
          <w:tcPr>
            <w:tcW w:w="2542" w:type="dxa"/>
            <w:vAlign w:val="center"/>
          </w:tcPr>
          <w:p>
            <w:pPr>
              <w:jc w:val="center"/>
              <w:rPr>
                <w:rFonts w:ascii="宋体" w:hAnsi="宋体" w:cs="宋体"/>
                <w:sz w:val="24"/>
              </w:rPr>
            </w:pPr>
          </w:p>
        </w:tc>
        <w:tc>
          <w:tcPr>
            <w:tcW w:w="1054"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4" w:type="dxa"/>
            <w:vAlign w:val="center"/>
          </w:tcPr>
          <w:p>
            <w:pPr>
              <w:jc w:val="center"/>
              <w:rPr>
                <w:rFonts w:ascii="宋体" w:hAnsi="宋体" w:cs="宋体"/>
                <w:sz w:val="24"/>
              </w:rPr>
            </w:pPr>
            <w:r>
              <w:rPr>
                <w:rFonts w:hint="eastAsia" w:ascii="宋体" w:hAnsi="宋体" w:cs="宋体"/>
                <w:sz w:val="24"/>
              </w:rPr>
              <w:t>3</w:t>
            </w:r>
          </w:p>
        </w:tc>
        <w:tc>
          <w:tcPr>
            <w:tcW w:w="3720" w:type="dxa"/>
            <w:vAlign w:val="center"/>
          </w:tcPr>
          <w:p>
            <w:pPr>
              <w:jc w:val="center"/>
              <w:rPr>
                <w:rFonts w:ascii="宋体" w:hAnsi="宋体" w:cs="宋体"/>
                <w:sz w:val="24"/>
              </w:rPr>
            </w:pPr>
            <w:r>
              <w:rPr>
                <w:rFonts w:hint="default" w:ascii="宋体" w:hAnsi="宋体" w:cs="宋体"/>
                <w:sz w:val="24"/>
                <w:lang w:val="en-US"/>
              </w:rPr>
              <w:t>供应</w:t>
            </w:r>
            <w:r>
              <w:rPr>
                <w:rFonts w:hint="eastAsia" w:ascii="宋体" w:hAnsi="宋体" w:cs="宋体"/>
                <w:sz w:val="24"/>
              </w:rPr>
              <w:t>商C</w:t>
            </w:r>
          </w:p>
        </w:tc>
        <w:tc>
          <w:tcPr>
            <w:tcW w:w="1080" w:type="dxa"/>
            <w:vAlign w:val="center"/>
          </w:tcPr>
          <w:p>
            <w:pPr>
              <w:jc w:val="center"/>
              <w:rPr>
                <w:rFonts w:ascii="宋体" w:hAnsi="宋体" w:cs="宋体"/>
                <w:sz w:val="24"/>
              </w:rPr>
            </w:pPr>
          </w:p>
        </w:tc>
        <w:tc>
          <w:tcPr>
            <w:tcW w:w="2542" w:type="dxa"/>
            <w:vAlign w:val="center"/>
          </w:tcPr>
          <w:p>
            <w:pPr>
              <w:jc w:val="center"/>
              <w:rPr>
                <w:rFonts w:ascii="宋体" w:hAnsi="宋体" w:cs="宋体"/>
                <w:sz w:val="24"/>
              </w:rPr>
            </w:pPr>
          </w:p>
        </w:tc>
        <w:tc>
          <w:tcPr>
            <w:tcW w:w="1054"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4" w:type="dxa"/>
            <w:vAlign w:val="center"/>
          </w:tcPr>
          <w:p>
            <w:pPr>
              <w:jc w:val="center"/>
              <w:rPr>
                <w:rFonts w:ascii="宋体" w:hAnsi="宋体" w:cs="宋体"/>
                <w:sz w:val="24"/>
              </w:rPr>
            </w:pPr>
          </w:p>
        </w:tc>
        <w:tc>
          <w:tcPr>
            <w:tcW w:w="3720" w:type="dxa"/>
            <w:vAlign w:val="center"/>
          </w:tcPr>
          <w:p>
            <w:pPr>
              <w:jc w:val="center"/>
              <w:rPr>
                <w:rFonts w:ascii="宋体" w:hAnsi="宋体" w:cs="宋体"/>
                <w:sz w:val="24"/>
              </w:rPr>
            </w:pPr>
            <w:r>
              <w:rPr>
                <w:rFonts w:hint="eastAsia" w:ascii="宋体" w:hAnsi="宋体" w:cs="宋体"/>
                <w:sz w:val="24"/>
              </w:rPr>
              <w:t>……</w:t>
            </w:r>
          </w:p>
        </w:tc>
        <w:tc>
          <w:tcPr>
            <w:tcW w:w="1080" w:type="dxa"/>
            <w:vAlign w:val="center"/>
          </w:tcPr>
          <w:p>
            <w:pPr>
              <w:jc w:val="center"/>
              <w:rPr>
                <w:rFonts w:ascii="宋体" w:hAnsi="宋体" w:cs="宋体"/>
                <w:sz w:val="24"/>
              </w:rPr>
            </w:pPr>
          </w:p>
        </w:tc>
        <w:tc>
          <w:tcPr>
            <w:tcW w:w="2542" w:type="dxa"/>
            <w:vAlign w:val="center"/>
          </w:tcPr>
          <w:p>
            <w:pPr>
              <w:jc w:val="center"/>
              <w:rPr>
                <w:rFonts w:ascii="宋体" w:hAnsi="宋体" w:cs="宋体"/>
                <w:sz w:val="24"/>
              </w:rPr>
            </w:pPr>
          </w:p>
        </w:tc>
        <w:tc>
          <w:tcPr>
            <w:tcW w:w="1054" w:type="dxa"/>
            <w:vAlign w:val="center"/>
          </w:tcPr>
          <w:p>
            <w:pPr>
              <w:jc w:val="center"/>
              <w:rPr>
                <w:rFonts w:ascii="宋体" w:hAnsi="宋体" w:cs="宋体"/>
                <w:sz w:val="24"/>
              </w:rPr>
            </w:pPr>
          </w:p>
        </w:tc>
      </w:tr>
    </w:tbl>
    <w:p>
      <w:pPr>
        <w:rPr>
          <w:rFonts w:ascii="宋体" w:hAnsi="宋体" w:cs="宋体"/>
          <w:sz w:val="24"/>
        </w:rPr>
      </w:pPr>
      <w:r>
        <w:rPr>
          <w:rFonts w:hint="eastAsia" w:ascii="宋体" w:hAnsi="宋体" w:cs="宋体"/>
          <w:sz w:val="24"/>
        </w:rPr>
        <w:t>注：1.资格评审情况填“通过”或“不通过”。</w:t>
      </w:r>
    </w:p>
    <w:p>
      <w:pPr>
        <w:ind w:firstLine="480" w:firstLineChars="200"/>
        <w:rPr>
          <w:rFonts w:ascii="宋体" w:hAnsi="宋体" w:cs="宋体"/>
          <w:sz w:val="24"/>
        </w:rPr>
      </w:pPr>
      <w:r>
        <w:rPr>
          <w:rFonts w:hint="eastAsia" w:ascii="宋体" w:hAnsi="宋体" w:cs="宋体"/>
          <w:sz w:val="24"/>
        </w:rPr>
        <w:t>2.上述表格可手写或打印，但不能涂改。</w:t>
      </w:r>
    </w:p>
    <w:p>
      <w:pPr>
        <w:spacing w:line="560" w:lineRule="exact"/>
        <w:rPr>
          <w:rFonts w:ascii="宋体" w:hAnsi="宋体" w:cs="宋体"/>
          <w:sz w:val="24"/>
        </w:rPr>
      </w:pPr>
    </w:p>
    <w:p>
      <w:pPr>
        <w:spacing w:line="560" w:lineRule="exact"/>
        <w:rPr>
          <w:rFonts w:ascii="宋体" w:hAnsi="宋体" w:cs="宋体"/>
          <w:sz w:val="24"/>
        </w:rPr>
      </w:pPr>
      <w:r>
        <w:rPr>
          <w:rFonts w:hint="eastAsia" w:ascii="宋体" w:hAnsi="宋体" w:cs="宋体"/>
          <w:sz w:val="24"/>
          <w:lang w:val="en-US" w:eastAsia="zh-CN"/>
        </w:rPr>
        <w:t>定价小组</w:t>
      </w:r>
      <w:r>
        <w:rPr>
          <w:rFonts w:hint="eastAsia" w:ascii="宋体" w:hAnsi="宋体" w:cs="宋体"/>
          <w:sz w:val="24"/>
        </w:rPr>
        <w:t xml:space="preserve">全体成员签名：                  </w:t>
      </w:r>
    </w:p>
    <w:p>
      <w:pPr>
        <w:spacing w:line="560" w:lineRule="exact"/>
        <w:rPr>
          <w:rFonts w:ascii="宋体" w:hAnsi="宋体" w:cs="宋体"/>
          <w:sz w:val="24"/>
        </w:rPr>
      </w:pPr>
      <w:r>
        <w:rPr>
          <w:rFonts w:hint="eastAsia" w:ascii="宋体" w:hAnsi="宋体" w:cs="宋体"/>
          <w:sz w:val="24"/>
        </w:rPr>
        <w:t>评审日期：</w:t>
      </w:r>
    </w:p>
    <w:p>
      <w:pPr>
        <w:pStyle w:val="2"/>
      </w:pPr>
      <w:r>
        <w:br w:type="page"/>
      </w:r>
    </w:p>
    <w:p>
      <w:pPr>
        <w:adjustRightInd w:val="0"/>
        <w:snapToGrid w:val="0"/>
        <w:spacing w:line="560" w:lineRule="exact"/>
        <w:jc w:val="center"/>
        <w:outlineLvl w:val="0"/>
        <w:rPr>
          <w:b/>
          <w:bCs/>
          <w:sz w:val="44"/>
          <w:szCs w:val="44"/>
        </w:rPr>
      </w:pPr>
    </w:p>
    <w:p>
      <w:pPr>
        <w:adjustRightInd w:val="0"/>
        <w:snapToGrid w:val="0"/>
        <w:spacing w:line="560" w:lineRule="exact"/>
        <w:jc w:val="center"/>
        <w:outlineLvl w:val="0"/>
        <w:rPr>
          <w:b/>
          <w:bCs/>
          <w:sz w:val="44"/>
          <w:szCs w:val="44"/>
        </w:rPr>
      </w:pPr>
      <w:r>
        <w:rPr>
          <w:rFonts w:hint="eastAsia"/>
          <w:b/>
          <w:bCs/>
          <w:sz w:val="44"/>
          <w:szCs w:val="44"/>
        </w:rPr>
        <w:t>第四部分  参评文件格式</w:t>
      </w:r>
    </w:p>
    <w:p>
      <w:pPr>
        <w:adjustRightInd w:val="0"/>
        <w:snapToGrid w:val="0"/>
        <w:spacing w:line="560" w:lineRule="exact"/>
        <w:rPr>
          <w:rFonts w:ascii="仿宋_GB2312" w:eastAsia="仿宋_GB2312"/>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spacing w:line="560" w:lineRule="exact"/>
        <w:jc w:val="center"/>
        <w:rPr>
          <w:b/>
          <w:spacing w:val="100"/>
          <w:w w:val="110"/>
          <w:sz w:val="32"/>
          <w:szCs w:val="32"/>
        </w:rPr>
      </w:pPr>
    </w:p>
    <w:p>
      <w:pPr>
        <w:pStyle w:val="16"/>
        <w:jc w:val="center"/>
        <w:rPr>
          <w:rFonts w:ascii="Times New Roman" w:hAnsi="Times New Roman"/>
          <w:b/>
          <w:sz w:val="44"/>
          <w:szCs w:val="44"/>
        </w:rPr>
      </w:pPr>
    </w:p>
    <w:p>
      <w:pPr>
        <w:pStyle w:val="16"/>
        <w:jc w:val="center"/>
        <w:rPr>
          <w:rFonts w:ascii="Times New Roman" w:hAnsi="Times New Roman"/>
          <w:b/>
          <w:sz w:val="44"/>
          <w:szCs w:val="44"/>
        </w:rPr>
      </w:pPr>
    </w:p>
    <w:p>
      <w:pPr>
        <w:pStyle w:val="16"/>
        <w:jc w:val="center"/>
        <w:rPr>
          <w:rFonts w:ascii="Times New Roman" w:hAnsi="Times New Roman"/>
          <w:b/>
          <w:sz w:val="44"/>
          <w:szCs w:val="44"/>
        </w:rPr>
      </w:pPr>
    </w:p>
    <w:p>
      <w:pPr>
        <w:pStyle w:val="16"/>
        <w:jc w:val="center"/>
        <w:rPr>
          <w:rFonts w:ascii="Times New Roman" w:hAnsi="Times New Roman"/>
          <w:b/>
          <w:sz w:val="44"/>
          <w:szCs w:val="44"/>
        </w:rPr>
      </w:pPr>
    </w:p>
    <w:p>
      <w:pPr>
        <w:pStyle w:val="16"/>
        <w:jc w:val="center"/>
        <w:rPr>
          <w:rFonts w:ascii="Times New Roman" w:hAnsi="Times New Roman"/>
          <w:b/>
          <w:sz w:val="96"/>
          <w:szCs w:val="96"/>
        </w:rPr>
      </w:pPr>
    </w:p>
    <w:p>
      <w:pPr>
        <w:pStyle w:val="16"/>
        <w:jc w:val="center"/>
        <w:rPr>
          <w:rFonts w:ascii="Times New Roman" w:hAnsi="Times New Roman"/>
          <w:b/>
          <w:sz w:val="96"/>
          <w:szCs w:val="96"/>
        </w:rPr>
      </w:pPr>
    </w:p>
    <w:p>
      <w:pPr>
        <w:pStyle w:val="16"/>
        <w:jc w:val="center"/>
        <w:rPr>
          <w:rFonts w:ascii="Times New Roman" w:hAnsi="Times New Roman"/>
          <w:b/>
          <w:sz w:val="44"/>
          <w:szCs w:val="44"/>
        </w:rPr>
      </w:pPr>
      <w:r>
        <w:rPr>
          <w:rFonts w:hint="eastAsia" w:ascii="Times New Roman" w:hAnsi="Times New Roman"/>
          <w:b/>
          <w:sz w:val="96"/>
          <w:szCs w:val="96"/>
        </w:rPr>
        <w:t>参 评 文 件</w:t>
      </w:r>
    </w:p>
    <w:p>
      <w:pPr>
        <w:pStyle w:val="16"/>
        <w:spacing w:line="560" w:lineRule="exact"/>
        <w:jc w:val="center"/>
        <w:rPr>
          <w:rFonts w:ascii="Times New Roman" w:hAnsi="Times New Roman"/>
          <w:b/>
          <w:sz w:val="32"/>
          <w:szCs w:val="32"/>
        </w:rPr>
      </w:pPr>
    </w:p>
    <w:p>
      <w:pPr>
        <w:pStyle w:val="16"/>
        <w:spacing w:line="560" w:lineRule="exact"/>
        <w:jc w:val="center"/>
        <w:rPr>
          <w:rFonts w:ascii="Times New Roman" w:hAnsi="Times New Roman"/>
          <w:b/>
          <w:sz w:val="32"/>
          <w:szCs w:val="32"/>
        </w:rPr>
      </w:pPr>
    </w:p>
    <w:p>
      <w:pPr>
        <w:pStyle w:val="16"/>
        <w:spacing w:line="560" w:lineRule="exact"/>
        <w:rPr>
          <w:rFonts w:ascii="Times New Roman" w:hAnsi="Times New Roman"/>
          <w:b/>
          <w:sz w:val="32"/>
          <w:szCs w:val="32"/>
        </w:rPr>
      </w:pPr>
      <w:r>
        <w:rPr>
          <w:rFonts w:hint="eastAsia" w:ascii="Times New Roman" w:hAnsi="Times New Roman"/>
          <w:b/>
          <w:sz w:val="32"/>
          <w:szCs w:val="32"/>
        </w:rPr>
        <w:t xml:space="preserve"> </w:t>
      </w:r>
    </w:p>
    <w:p>
      <w:pPr>
        <w:pStyle w:val="16"/>
        <w:spacing w:line="560" w:lineRule="exact"/>
        <w:ind w:firstLine="1606" w:firstLineChars="500"/>
        <w:rPr>
          <w:rFonts w:ascii="Times New Roman" w:hAnsi="Times New Roman"/>
          <w:b/>
          <w:sz w:val="32"/>
          <w:szCs w:val="32"/>
        </w:rPr>
      </w:pPr>
      <w:r>
        <w:rPr>
          <w:rFonts w:hint="eastAsia" w:ascii="Times New Roman" w:hAnsi="Times New Roman"/>
          <w:b/>
          <w:sz w:val="32"/>
          <w:szCs w:val="32"/>
        </w:rPr>
        <w:t>项目名称：中山市公共交通运输集团有限公司</w:t>
      </w:r>
    </w:p>
    <w:p>
      <w:pPr>
        <w:pStyle w:val="16"/>
        <w:spacing w:line="560" w:lineRule="exact"/>
        <w:ind w:left="1754" w:firstLine="1606" w:firstLineChars="500"/>
        <w:rPr>
          <w:rFonts w:ascii="Times New Roman" w:hAnsi="Times New Roman"/>
          <w:b/>
          <w:sz w:val="32"/>
          <w:szCs w:val="32"/>
        </w:rPr>
      </w:pPr>
      <w:r>
        <w:rPr>
          <w:rFonts w:hint="eastAsia" w:ascii="Times New Roman" w:hAnsi="Times New Roman"/>
          <w:b/>
          <w:sz w:val="32"/>
          <w:szCs w:val="32"/>
        </w:rPr>
        <w:t>综合安防管理平台建设项目</w:t>
      </w:r>
    </w:p>
    <w:p>
      <w:pPr>
        <w:pStyle w:val="16"/>
        <w:spacing w:line="560" w:lineRule="exact"/>
        <w:ind w:firstLine="1606" w:firstLineChars="500"/>
        <w:rPr>
          <w:rFonts w:ascii="Times New Roman" w:hAnsi="Times New Roman"/>
          <w:b/>
          <w:sz w:val="32"/>
          <w:szCs w:val="32"/>
        </w:rPr>
      </w:pPr>
    </w:p>
    <w:p>
      <w:pPr>
        <w:pStyle w:val="16"/>
        <w:spacing w:line="560" w:lineRule="exact"/>
        <w:ind w:firstLine="1606" w:firstLineChars="500"/>
        <w:rPr>
          <w:rFonts w:ascii="Times New Roman" w:hAnsi="Times New Roman"/>
          <w:b/>
          <w:sz w:val="32"/>
          <w:szCs w:val="32"/>
        </w:rPr>
      </w:pPr>
      <w:r>
        <w:rPr>
          <w:rFonts w:hint="eastAsia" w:ascii="Times New Roman" w:hAnsi="Times New Roman"/>
          <w:b/>
          <w:sz w:val="32"/>
          <w:szCs w:val="32"/>
        </w:rPr>
        <w:t xml:space="preserve">参评供应商名称（盖章）：     </w:t>
      </w:r>
    </w:p>
    <w:p>
      <w:pPr>
        <w:pStyle w:val="16"/>
        <w:spacing w:line="560" w:lineRule="exact"/>
        <w:ind w:firstLine="1754" w:firstLineChars="546"/>
        <w:rPr>
          <w:rFonts w:ascii="Times New Roman" w:hAnsi="Times New Roman"/>
          <w:b/>
          <w:sz w:val="32"/>
          <w:szCs w:val="32"/>
        </w:rPr>
      </w:pPr>
    </w:p>
    <w:p>
      <w:pPr>
        <w:pStyle w:val="16"/>
        <w:spacing w:line="560" w:lineRule="exact"/>
        <w:ind w:firstLine="1606" w:firstLineChars="500"/>
        <w:rPr>
          <w:rFonts w:ascii="Times New Roman" w:hAnsi="Times New Roman"/>
          <w:b/>
          <w:sz w:val="32"/>
          <w:szCs w:val="32"/>
        </w:rPr>
      </w:pPr>
      <w:r>
        <w:rPr>
          <w:rFonts w:hint="eastAsia" w:ascii="Times New Roman" w:hAnsi="Times New Roman"/>
          <w:b/>
          <w:sz w:val="32"/>
          <w:szCs w:val="32"/>
        </w:rPr>
        <w:t xml:space="preserve">日    期：             </w:t>
      </w:r>
    </w:p>
    <w:p>
      <w:pPr>
        <w:adjustRightInd w:val="0"/>
        <w:snapToGrid w:val="0"/>
        <w:spacing w:line="560" w:lineRule="exact"/>
        <w:rPr>
          <w:rFonts w:ascii="宋体" w:hAnsi="宋体"/>
          <w:b/>
          <w:bCs/>
          <w:sz w:val="24"/>
        </w:rPr>
      </w:pPr>
    </w:p>
    <w:p>
      <w:pPr>
        <w:pStyle w:val="29"/>
        <w:ind w:firstLine="482"/>
        <w:rPr>
          <w:rFonts w:ascii="宋体" w:hAnsi="宋体"/>
          <w:b/>
          <w:bCs/>
          <w:sz w:val="24"/>
        </w:rPr>
      </w:pPr>
    </w:p>
    <w:p>
      <w:pPr>
        <w:rPr>
          <w:rFonts w:ascii="宋体" w:hAnsi="宋体"/>
          <w:b/>
          <w:bCs/>
          <w:sz w:val="24"/>
        </w:rPr>
      </w:pPr>
    </w:p>
    <w:p>
      <w:pPr>
        <w:pStyle w:val="29"/>
        <w:ind w:firstLine="482"/>
        <w:rPr>
          <w:rFonts w:ascii="宋体" w:hAnsi="宋体"/>
          <w:b/>
          <w:bCs/>
          <w:sz w:val="24"/>
        </w:rPr>
      </w:pPr>
    </w:p>
    <w:p>
      <w:pPr>
        <w:rPr>
          <w:rFonts w:ascii="宋体" w:hAnsi="宋体"/>
          <w:b/>
          <w:bCs/>
          <w:sz w:val="24"/>
        </w:rPr>
      </w:pPr>
    </w:p>
    <w:p>
      <w:pPr>
        <w:pStyle w:val="29"/>
        <w:ind w:firstLine="482"/>
        <w:rPr>
          <w:rFonts w:ascii="宋体" w:hAnsi="宋体"/>
          <w:b/>
          <w:bCs/>
          <w:sz w:val="24"/>
        </w:rPr>
      </w:pPr>
    </w:p>
    <w:p>
      <w:pPr>
        <w:rPr>
          <w:rFonts w:ascii="宋体" w:hAnsi="宋体"/>
          <w:b/>
          <w:bCs/>
          <w:sz w:val="24"/>
        </w:rPr>
      </w:pPr>
    </w:p>
    <w:p>
      <w:pPr>
        <w:pStyle w:val="29"/>
        <w:ind w:firstLine="482"/>
        <w:rPr>
          <w:rFonts w:ascii="宋体" w:hAnsi="宋体"/>
          <w:b/>
          <w:bCs/>
          <w:sz w:val="24"/>
        </w:rPr>
      </w:pPr>
    </w:p>
    <w:p>
      <w:pPr>
        <w:rPr>
          <w:rFonts w:ascii="宋体" w:hAnsi="宋体"/>
          <w:b/>
          <w:bCs/>
          <w:sz w:val="24"/>
        </w:rPr>
      </w:pPr>
    </w:p>
    <w:p>
      <w:pPr>
        <w:pStyle w:val="29"/>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r>
        <w:rPr>
          <w:rFonts w:hint="eastAsia" w:ascii="宋体" w:hAnsi="宋体"/>
          <w:b/>
          <w:bCs/>
          <w:sz w:val="24"/>
        </w:rPr>
        <w:br w:type="page"/>
      </w:r>
      <w:r>
        <w:rPr>
          <w:rFonts w:hint="eastAsia" w:ascii="宋体" w:hAnsi="宋体"/>
          <w:b/>
          <w:bCs/>
          <w:sz w:val="24"/>
        </w:rPr>
        <w:t>格式1 承诺函</w:t>
      </w:r>
    </w:p>
    <w:p>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承 诺 函</w:t>
      </w:r>
    </w:p>
    <w:p>
      <w:pPr>
        <w:tabs>
          <w:tab w:val="left" w:pos="900"/>
        </w:tabs>
        <w:spacing w:line="500" w:lineRule="exact"/>
        <w:rPr>
          <w:rFonts w:ascii="宋体" w:hAnsi="宋体" w:cs="宋体"/>
          <w:bCs/>
          <w:sz w:val="24"/>
        </w:rPr>
      </w:pPr>
      <w:r>
        <w:rPr>
          <w:rFonts w:hint="eastAsia" w:ascii="宋体" w:hAnsi="宋体" w:cs="宋体"/>
          <w:sz w:val="24"/>
        </w:rPr>
        <w:t>中山市公共交通运输集团有限公司</w:t>
      </w:r>
      <w:r>
        <w:rPr>
          <w:rFonts w:hint="eastAsia" w:ascii="宋体" w:hAnsi="宋体" w:cs="宋体"/>
          <w:bCs/>
          <w:sz w:val="24"/>
        </w:rPr>
        <w:t>：</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我方确认收到《中山市公共交通运输集团有限公司综合安防管理平台建设项目》</w:t>
      </w:r>
      <w:r>
        <w:rPr>
          <w:rFonts w:hint="eastAsia" w:ascii="宋体" w:hAnsi="宋体" w:cs="宋体"/>
          <w:bCs/>
          <w:sz w:val="24"/>
          <w:lang w:val="en-US" w:eastAsia="zh-CN"/>
        </w:rPr>
        <w:t>询价</w:t>
      </w:r>
      <w:r>
        <w:rPr>
          <w:rFonts w:hint="eastAsia" w:ascii="宋体" w:hAnsi="宋体" w:cs="宋体"/>
          <w:bCs/>
          <w:sz w:val="24"/>
        </w:rPr>
        <w:t>文件，经详细研究，决定参加该项目评选，并作出如下承诺：</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1.同意并接受</w:t>
      </w:r>
      <w:r>
        <w:rPr>
          <w:rFonts w:hint="eastAsia" w:ascii="宋体" w:hAnsi="宋体" w:cs="宋体"/>
          <w:bCs/>
          <w:sz w:val="24"/>
          <w:lang w:val="en-US" w:eastAsia="zh-CN"/>
        </w:rPr>
        <w:t>询价</w:t>
      </w:r>
      <w:r>
        <w:rPr>
          <w:rFonts w:hint="eastAsia" w:ascii="宋体" w:hAnsi="宋体" w:cs="宋体"/>
          <w:bCs/>
          <w:sz w:val="24"/>
        </w:rPr>
        <w:t>文件的各项要求，完全接受贵方设定的全部参数、配置、条款，满足采购文件中的各项需求（详见《需求响应表》），按采购文件的要求提供报价（详见报价表）。</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2.我方已详细研究</w:t>
      </w:r>
      <w:r>
        <w:rPr>
          <w:rFonts w:hint="eastAsia" w:ascii="宋体" w:hAnsi="宋体" w:cs="宋体"/>
          <w:bCs/>
          <w:sz w:val="24"/>
          <w:lang w:val="en-US" w:eastAsia="zh-CN"/>
        </w:rPr>
        <w:t>询价</w:t>
      </w:r>
      <w:r>
        <w:rPr>
          <w:rFonts w:hint="eastAsia" w:ascii="宋体" w:hAnsi="宋体" w:cs="宋体"/>
          <w:bCs/>
          <w:sz w:val="24"/>
        </w:rPr>
        <w:t>文件的所有内容，包括修改文件(如有)和所有已收到的参考资料以及有关附件(如有)，并完全明白，不存在任何含糊不清和误解之处，同意放弃对这些文件提出异议和质疑的权利。</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3.我方同意按照贵方可能提出的要求而提供与参评有关的任何其它资料、数据或信息。</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4.我方保证，贵方在中华人民共和国使用该产品或产品的任何一部分时，免受第三方提出的侵犯其专利权、商标权、著作权或其它知识产权、所有权等权利请求和起诉。</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5.我方承诺在本次参评文件中提供的一切文件，无论是原件还是复印件均为真实和准确的，绝无任何虚假、伪造和夸大的成份，并随时接受贵方核实查验，否则，愿承担相应的后果和法律责任。</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6.我方为</w:t>
      </w:r>
      <w:r>
        <w:rPr>
          <w:rFonts w:hint="eastAsia" w:ascii="宋体" w:hAnsi="宋体" w:cs="宋体"/>
          <w:bCs/>
          <w:sz w:val="24"/>
          <w:lang w:val="zh-CN"/>
        </w:rPr>
        <w:t>具有</w:t>
      </w:r>
      <w:r>
        <w:rPr>
          <w:rFonts w:hint="eastAsia" w:ascii="宋体" w:hAnsi="宋体" w:cs="宋体"/>
          <w:bCs/>
          <w:sz w:val="24"/>
        </w:rPr>
        <w:t>独立</w:t>
      </w:r>
      <w:r>
        <w:rPr>
          <w:rFonts w:hint="eastAsia" w:ascii="宋体" w:hAnsi="宋体" w:cs="宋体"/>
          <w:bCs/>
          <w:sz w:val="24"/>
          <w:lang w:val="zh-CN"/>
        </w:rPr>
        <w:t>承担民事责任能力的在中华人民共和国境内注册的企业法人或其他社会组织，并独立于</w:t>
      </w:r>
      <w:r>
        <w:rPr>
          <w:rFonts w:hint="eastAsia" w:ascii="宋体" w:hAnsi="宋体" w:cs="宋体"/>
          <w:bCs/>
          <w:sz w:val="24"/>
        </w:rPr>
        <w:t>贵方，且</w:t>
      </w:r>
      <w:r>
        <w:rPr>
          <w:rFonts w:hint="eastAsia" w:ascii="宋体" w:hAnsi="宋体" w:cs="宋体"/>
          <w:b/>
          <w:sz w:val="24"/>
        </w:rPr>
        <w:t>非联合体参评报价</w:t>
      </w:r>
      <w:r>
        <w:rPr>
          <w:rFonts w:hint="eastAsia" w:ascii="宋体" w:hAnsi="宋体" w:cs="宋体"/>
          <w:bCs/>
          <w:sz w:val="24"/>
        </w:rPr>
        <w:t>。</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7.我方如果中选，将按照贵方采购文件及其修改文件（如有）的要求及我方参评承诺，按质、按量、按期履行全部责任和义务，且</w:t>
      </w:r>
      <w:r>
        <w:rPr>
          <w:rFonts w:hint="eastAsia" w:ascii="宋体" w:hAnsi="宋体" w:cs="宋体"/>
          <w:b/>
          <w:sz w:val="24"/>
        </w:rPr>
        <w:t>不会以任何方式转包或分包本项目</w:t>
      </w:r>
      <w:r>
        <w:rPr>
          <w:rFonts w:hint="eastAsia" w:ascii="宋体" w:hAnsi="宋体" w:cs="宋体"/>
          <w:bCs/>
          <w:sz w:val="24"/>
        </w:rPr>
        <w:t>。</w:t>
      </w:r>
    </w:p>
    <w:p>
      <w:pPr>
        <w:tabs>
          <w:tab w:val="left" w:pos="900"/>
        </w:tabs>
        <w:spacing w:line="500" w:lineRule="exact"/>
        <w:ind w:firstLine="480" w:firstLineChars="200"/>
        <w:rPr>
          <w:rFonts w:hint="eastAsia" w:ascii="宋体" w:hAnsi="宋体" w:cs="宋体"/>
          <w:bCs/>
          <w:sz w:val="24"/>
        </w:rPr>
      </w:pPr>
      <w:r>
        <w:rPr>
          <w:rFonts w:hint="eastAsia" w:ascii="宋体" w:hAnsi="宋体" w:cs="宋体"/>
          <w:bCs/>
          <w:sz w:val="24"/>
        </w:rPr>
        <w:t>8.我方承诺提供厂商原装、全新的、符合国家及</w:t>
      </w:r>
      <w:r>
        <w:rPr>
          <w:rFonts w:hint="eastAsia" w:ascii="宋体" w:hAnsi="宋体" w:cs="宋体"/>
          <w:bCs/>
          <w:sz w:val="24"/>
          <w:lang w:val="en-US" w:eastAsia="zh-CN"/>
        </w:rPr>
        <w:t>贵方</w:t>
      </w:r>
      <w:r>
        <w:rPr>
          <w:rFonts w:hint="eastAsia" w:ascii="宋体" w:hAnsi="宋体" w:cs="宋体"/>
          <w:bCs/>
          <w:sz w:val="24"/>
        </w:rPr>
        <w:t>提出的有关质量标准的货物。</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lang w:val="en-US" w:eastAsia="zh-CN"/>
        </w:rPr>
        <w:t>9</w:t>
      </w:r>
      <w:r>
        <w:rPr>
          <w:rFonts w:hint="eastAsia" w:ascii="宋体" w:hAnsi="宋体" w:cs="宋体"/>
          <w:bCs/>
          <w:sz w:val="24"/>
        </w:rPr>
        <w:t>.参评文件有效期：报名截止之日后30天内有效。</w:t>
      </w:r>
    </w:p>
    <w:p>
      <w:pPr>
        <w:tabs>
          <w:tab w:val="left" w:pos="900"/>
        </w:tabs>
        <w:spacing w:line="500" w:lineRule="exact"/>
        <w:ind w:firstLine="480" w:firstLineChars="200"/>
        <w:rPr>
          <w:rFonts w:ascii="宋体" w:hAnsi="宋体" w:cs="宋体"/>
          <w:bCs/>
          <w:sz w:val="24"/>
        </w:rPr>
      </w:pP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参评</w:t>
      </w:r>
      <w:r>
        <w:rPr>
          <w:rFonts w:hint="default" w:ascii="宋体" w:hAnsi="宋体" w:cs="宋体"/>
          <w:bCs/>
          <w:sz w:val="24"/>
          <w:lang w:val="en-US"/>
        </w:rPr>
        <w:t>供应</w:t>
      </w:r>
      <w:r>
        <w:rPr>
          <w:rFonts w:hint="eastAsia" w:ascii="宋体" w:hAnsi="宋体" w:cs="宋体"/>
          <w:bCs/>
          <w:sz w:val="24"/>
        </w:rPr>
        <w:t>商（盖章）：</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 xml:space="preserve">地址： </w:t>
      </w:r>
    </w:p>
    <w:p>
      <w:pPr>
        <w:adjustRightInd w:val="0"/>
        <w:snapToGrid w:val="0"/>
        <w:spacing w:line="560" w:lineRule="exact"/>
        <w:ind w:firstLine="480" w:firstLineChars="200"/>
        <w:rPr>
          <w:rFonts w:ascii="宋体" w:hAnsi="宋体"/>
          <w:b/>
          <w:bCs/>
          <w:sz w:val="24"/>
        </w:rPr>
      </w:pPr>
      <w:r>
        <w:rPr>
          <w:rFonts w:hint="eastAsia" w:ascii="宋体" w:hAnsi="宋体" w:cs="宋体"/>
          <w:bCs/>
          <w:sz w:val="24"/>
        </w:rPr>
        <w:t>日期：</w:t>
      </w: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r>
        <w:rPr>
          <w:rFonts w:hint="eastAsia" w:ascii="宋体" w:hAnsi="宋体"/>
          <w:b/>
          <w:bCs/>
          <w:sz w:val="24"/>
        </w:rPr>
        <w:t>格式</w:t>
      </w:r>
      <w:r>
        <w:rPr>
          <w:rFonts w:ascii="宋体" w:hAnsi="宋体"/>
          <w:b/>
          <w:bCs/>
          <w:sz w:val="24"/>
        </w:rPr>
        <w:t>2</w:t>
      </w:r>
      <w:r>
        <w:rPr>
          <w:rFonts w:hint="eastAsia" w:ascii="宋体" w:hAnsi="宋体"/>
          <w:b/>
          <w:bCs/>
          <w:sz w:val="24"/>
        </w:rPr>
        <w:t xml:space="preserve"> 营业执照、资质证明等材料</w:t>
      </w:r>
    </w:p>
    <w:p>
      <w:pPr>
        <w:adjustRightInd w:val="0"/>
        <w:snapToGrid w:val="0"/>
        <w:spacing w:line="560" w:lineRule="exact"/>
        <w:ind w:firstLine="480" w:firstLineChars="200"/>
        <w:rPr>
          <w:rFonts w:ascii="仿宋_GB2312" w:eastAsia="仿宋_GB2312"/>
          <w:bCs/>
          <w:sz w:val="24"/>
        </w:rPr>
      </w:pPr>
    </w:p>
    <w:p>
      <w:pPr>
        <w:pStyle w:val="78"/>
        <w:numPr>
          <w:ilvl w:val="0"/>
          <w:numId w:val="3"/>
        </w:numPr>
        <w:adjustRightInd w:val="0"/>
        <w:snapToGrid w:val="0"/>
        <w:spacing w:line="560" w:lineRule="exact"/>
        <w:ind w:firstLineChars="0"/>
        <w:jc w:val="left"/>
        <w:rPr>
          <w:rFonts w:ascii="宋体" w:hAnsi="宋体" w:cs="仿宋_GB2312"/>
          <w:b/>
          <w:sz w:val="44"/>
          <w:szCs w:val="44"/>
        </w:rPr>
      </w:pPr>
      <w:r>
        <w:rPr>
          <w:rFonts w:hint="eastAsia" w:ascii="宋体" w:hAnsi="宋体" w:cs="仿宋_GB2312"/>
          <w:b/>
          <w:sz w:val="44"/>
          <w:szCs w:val="44"/>
        </w:rPr>
        <w:t>具有所投货物合法的生产或销售（代理）经营权</w:t>
      </w:r>
      <w:r>
        <w:rPr>
          <w:rFonts w:hint="eastAsia" w:ascii="宋体" w:hAnsi="宋体" w:eastAsia="宋体" w:cs="仿宋_GB2312"/>
          <w:b/>
          <w:sz w:val="44"/>
          <w:szCs w:val="44"/>
        </w:rPr>
        <w:t>，</w:t>
      </w:r>
      <w:r>
        <w:rPr>
          <w:rFonts w:hint="eastAsia" w:ascii="宋体" w:hAnsi="宋体" w:eastAsia="宋体" w:cs="仿宋_GB2312"/>
          <w:b/>
          <w:sz w:val="44"/>
          <w:szCs w:val="44"/>
          <w:lang w:val="en-US" w:eastAsia="zh-CN"/>
        </w:rPr>
        <w:t>经营范围包括</w:t>
      </w:r>
      <w:r>
        <w:rPr>
          <w:rFonts w:hint="eastAsia" w:ascii="宋体" w:hAnsi="宋体" w:eastAsia="宋体" w:cs="仿宋_GB2312"/>
          <w:b/>
          <w:sz w:val="44"/>
          <w:szCs w:val="44"/>
          <w:lang w:val="zh-CN"/>
        </w:rPr>
        <w:t>工程建设</w:t>
      </w:r>
      <w:r>
        <w:rPr>
          <w:rFonts w:hint="eastAsia" w:ascii="宋体" w:hAnsi="宋体" w:eastAsia="宋体" w:cs="仿宋_GB2312"/>
          <w:b/>
          <w:sz w:val="44"/>
          <w:szCs w:val="44"/>
          <w:lang w:val="zh-CN" w:eastAsia="zh-CN"/>
        </w:rPr>
        <w:t>、</w:t>
      </w:r>
      <w:r>
        <w:rPr>
          <w:rFonts w:hint="eastAsia" w:ascii="宋体" w:hAnsi="宋体" w:eastAsia="宋体" w:cs="仿宋_GB2312"/>
          <w:b/>
          <w:sz w:val="44"/>
          <w:szCs w:val="44"/>
          <w:lang w:val="en-US" w:eastAsia="zh-CN"/>
        </w:rPr>
        <w:t>监控安防、</w:t>
      </w:r>
      <w:r>
        <w:rPr>
          <w:rFonts w:hint="eastAsia" w:ascii="宋体" w:hAnsi="宋体" w:eastAsia="宋体" w:cs="仿宋_GB2312"/>
          <w:b/>
          <w:sz w:val="44"/>
          <w:szCs w:val="44"/>
          <w:lang w:val="zh-CN"/>
        </w:rPr>
        <w:t>信息技术</w:t>
      </w:r>
      <w:r>
        <w:rPr>
          <w:rFonts w:hint="eastAsia" w:ascii="宋体" w:hAnsi="宋体" w:eastAsia="宋体" w:cs="仿宋_GB2312"/>
          <w:b/>
          <w:sz w:val="44"/>
          <w:szCs w:val="44"/>
          <w:lang w:val="zh-CN" w:eastAsia="zh-CN"/>
        </w:rPr>
        <w:t>、</w:t>
      </w:r>
      <w:r>
        <w:rPr>
          <w:rFonts w:hint="eastAsia" w:ascii="宋体" w:hAnsi="宋体" w:eastAsia="宋体" w:cs="仿宋_GB2312"/>
          <w:b/>
          <w:sz w:val="44"/>
          <w:szCs w:val="44"/>
          <w:lang w:val="zh-CN"/>
        </w:rPr>
        <w:t>计算机网络</w:t>
      </w:r>
      <w:r>
        <w:rPr>
          <w:rFonts w:hint="eastAsia" w:ascii="宋体" w:hAnsi="宋体" w:eastAsia="宋体" w:cs="仿宋_GB2312"/>
          <w:b/>
          <w:sz w:val="44"/>
          <w:szCs w:val="44"/>
          <w:lang w:val="en-US" w:eastAsia="zh-CN"/>
        </w:rPr>
        <w:t>或信息系统集成等相关</w:t>
      </w:r>
      <w:r>
        <w:rPr>
          <w:rFonts w:hint="eastAsia" w:ascii="宋体" w:hAnsi="宋体" w:eastAsia="宋体" w:cs="仿宋_GB2312"/>
          <w:b/>
          <w:sz w:val="44"/>
          <w:szCs w:val="44"/>
          <w:lang w:val="zh-CN"/>
        </w:rPr>
        <w:t>经营</w:t>
      </w:r>
      <w:r>
        <w:rPr>
          <w:rFonts w:hint="eastAsia" w:ascii="宋体" w:hAnsi="宋体" w:eastAsia="宋体" w:cs="仿宋_GB2312"/>
          <w:b/>
          <w:sz w:val="44"/>
          <w:szCs w:val="44"/>
          <w:lang w:val="en-US" w:eastAsia="zh-CN"/>
        </w:rPr>
        <w:t>范围</w:t>
      </w:r>
      <w:r>
        <w:rPr>
          <w:rFonts w:hint="eastAsia" w:ascii="宋体" w:hAnsi="宋体" w:eastAsia="宋体" w:cs="仿宋_GB2312"/>
          <w:b/>
          <w:sz w:val="44"/>
          <w:szCs w:val="44"/>
          <w:lang w:val="zh-CN"/>
        </w:rPr>
        <w:t>。</w:t>
      </w:r>
      <w:r>
        <w:rPr>
          <w:rFonts w:hint="eastAsia" w:ascii="宋体" w:hAnsi="宋体" w:cs="仿宋_GB2312"/>
          <w:b/>
          <w:sz w:val="44"/>
          <w:szCs w:val="44"/>
        </w:rPr>
        <w:t>（以企业法人营业执照上的经营范围内容为准，如营业执照未显示经营范围，则须另外提供国家企业信用信息公示系统网站打印含有经营范围的企业基本资料证明）。</w:t>
      </w:r>
    </w:p>
    <w:p>
      <w:pPr>
        <w:pStyle w:val="78"/>
        <w:adjustRightInd w:val="0"/>
        <w:snapToGrid w:val="0"/>
        <w:spacing w:line="560" w:lineRule="exact"/>
        <w:ind w:left="720" w:firstLine="0" w:firstLineChars="0"/>
        <w:jc w:val="left"/>
        <w:rPr>
          <w:rFonts w:ascii="宋体" w:hAnsi="宋体" w:cs="仿宋_GB2312"/>
          <w:b/>
          <w:sz w:val="44"/>
          <w:szCs w:val="44"/>
        </w:rPr>
      </w:pPr>
    </w:p>
    <w:p>
      <w:pPr>
        <w:pStyle w:val="78"/>
        <w:numPr>
          <w:ilvl w:val="0"/>
          <w:numId w:val="3"/>
        </w:numPr>
        <w:adjustRightInd w:val="0"/>
        <w:snapToGrid w:val="0"/>
        <w:spacing w:line="560" w:lineRule="exact"/>
        <w:ind w:firstLineChars="0"/>
        <w:jc w:val="left"/>
        <w:rPr>
          <w:rFonts w:ascii="宋体" w:hAnsi="宋体" w:cs="仿宋_GB2312"/>
          <w:b/>
          <w:sz w:val="44"/>
          <w:szCs w:val="44"/>
        </w:rPr>
      </w:pPr>
      <w:r>
        <w:rPr>
          <w:rFonts w:hint="eastAsia" w:ascii="宋体" w:hAnsi="宋体" w:cs="仿宋_GB2312"/>
          <w:b/>
          <w:sz w:val="44"/>
          <w:szCs w:val="44"/>
        </w:rPr>
        <w:t>所投货物品牌厂家出具的产品彩页及对应检验报告复印件，加盖厂家公章（原件）。</w:t>
      </w:r>
    </w:p>
    <w:p>
      <w:pPr>
        <w:adjustRightInd w:val="0"/>
        <w:snapToGrid w:val="0"/>
        <w:spacing w:line="560" w:lineRule="exact"/>
        <w:jc w:val="left"/>
        <w:rPr>
          <w:rFonts w:ascii="宋体" w:hAnsi="宋体" w:cs="仿宋_GB2312"/>
          <w:b/>
          <w:sz w:val="44"/>
          <w:szCs w:val="44"/>
        </w:rPr>
      </w:pPr>
    </w:p>
    <w:p>
      <w:pPr>
        <w:pStyle w:val="78"/>
        <w:numPr>
          <w:ilvl w:val="0"/>
          <w:numId w:val="3"/>
        </w:numPr>
        <w:adjustRightInd w:val="0"/>
        <w:snapToGrid w:val="0"/>
        <w:spacing w:line="560" w:lineRule="exact"/>
        <w:ind w:firstLineChars="0"/>
        <w:jc w:val="left"/>
        <w:rPr>
          <w:rFonts w:ascii="宋体" w:hAnsi="宋体" w:cs="仿宋_GB2312"/>
          <w:b/>
          <w:sz w:val="44"/>
          <w:szCs w:val="44"/>
        </w:rPr>
      </w:pPr>
      <w:r>
        <w:rPr>
          <w:rFonts w:hint="eastAsia" w:ascii="宋体" w:hAnsi="宋体" w:cs="仿宋_GB2312"/>
          <w:b/>
          <w:sz w:val="44"/>
          <w:szCs w:val="44"/>
        </w:rPr>
        <w:t>所投产品涉及的公安部检测机构出具的检测报告复印件证明，加盖所投品牌厂商公章。</w:t>
      </w:r>
    </w:p>
    <w:p>
      <w:pPr>
        <w:adjustRightInd w:val="0"/>
        <w:snapToGrid w:val="0"/>
        <w:spacing w:line="560" w:lineRule="exact"/>
        <w:jc w:val="center"/>
        <w:rPr>
          <w:rFonts w:ascii="宋体" w:hAnsi="宋体" w:cs="仿宋_GB2312"/>
          <w:b/>
          <w:sz w:val="44"/>
          <w:szCs w:val="44"/>
        </w:rPr>
      </w:pPr>
    </w:p>
    <w:p>
      <w:pPr>
        <w:adjustRightInd w:val="0"/>
        <w:snapToGrid w:val="0"/>
        <w:spacing w:line="560" w:lineRule="exact"/>
        <w:jc w:val="center"/>
        <w:rPr>
          <w:rFonts w:ascii="宋体" w:hAnsi="宋体"/>
          <w:b/>
          <w:bCs/>
          <w:sz w:val="24"/>
        </w:rPr>
      </w:pPr>
      <w:r>
        <w:rPr>
          <w:rFonts w:hint="eastAsia" w:ascii="宋体" w:hAnsi="宋体" w:cs="仿宋_GB2312"/>
          <w:b/>
          <w:sz w:val="44"/>
          <w:szCs w:val="44"/>
        </w:rPr>
        <w:t>（格式自拟）</w:t>
      </w: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ascii="宋体" w:hAnsi="宋体"/>
          <w:b/>
          <w:bCs/>
          <w:sz w:val="24"/>
        </w:rPr>
      </w:pPr>
      <w:r>
        <w:rPr>
          <w:rFonts w:hint="eastAsia" w:ascii="宋体" w:hAnsi="宋体"/>
          <w:b/>
          <w:bCs/>
          <w:sz w:val="24"/>
        </w:rPr>
        <w:t>格式</w:t>
      </w:r>
      <w:r>
        <w:rPr>
          <w:rFonts w:ascii="宋体" w:hAnsi="宋体"/>
          <w:b/>
          <w:bCs/>
          <w:sz w:val="24"/>
        </w:rPr>
        <w:t>3</w:t>
      </w:r>
      <w:r>
        <w:rPr>
          <w:rFonts w:hint="eastAsia" w:ascii="宋体" w:hAnsi="宋体"/>
          <w:b/>
          <w:bCs/>
          <w:sz w:val="24"/>
        </w:rPr>
        <w:t xml:space="preserve"> 报价表</w:t>
      </w:r>
    </w:p>
    <w:p>
      <w:pPr>
        <w:adjustRightInd w:val="0"/>
        <w:snapToGrid w:val="0"/>
        <w:spacing w:line="560" w:lineRule="exact"/>
        <w:rPr>
          <w:rFonts w:ascii="宋体" w:hAnsi="宋体"/>
          <w:b/>
          <w:bCs/>
          <w:sz w:val="24"/>
        </w:rPr>
      </w:pPr>
    </w:p>
    <w:p>
      <w:pPr>
        <w:tabs>
          <w:tab w:val="left" w:pos="900"/>
        </w:tabs>
        <w:spacing w:line="560" w:lineRule="exact"/>
        <w:jc w:val="center"/>
        <w:rPr>
          <w:sz w:val="44"/>
          <w:szCs w:val="44"/>
        </w:rPr>
      </w:pPr>
      <w:r>
        <w:rPr>
          <w:rFonts w:hint="eastAsia" w:ascii="宋体" w:hAnsi="宋体" w:cs="仿宋_GB2312"/>
          <w:b/>
          <w:sz w:val="44"/>
          <w:szCs w:val="44"/>
        </w:rPr>
        <w:t>报价表</w:t>
      </w:r>
    </w:p>
    <w:p>
      <w:pPr>
        <w:adjustRightInd w:val="0"/>
        <w:snapToGrid w:val="0"/>
        <w:spacing w:line="560" w:lineRule="exact"/>
        <w:rPr>
          <w:rFonts w:ascii="宋体" w:hAnsi="宋体" w:cs="宋体"/>
          <w:b/>
          <w:bCs/>
          <w:sz w:val="22"/>
          <w:szCs w:val="22"/>
        </w:rPr>
      </w:pPr>
    </w:p>
    <w:p>
      <w:pPr>
        <w:adjustRightInd w:val="0"/>
        <w:snapToGrid w:val="0"/>
        <w:rPr>
          <w:rFonts w:hAnsi="宋体" w:cs="宋体"/>
          <w:b/>
          <w:bCs/>
          <w:spacing w:val="-11"/>
          <w:sz w:val="24"/>
        </w:rPr>
      </w:pPr>
      <w:r>
        <w:rPr>
          <w:rFonts w:hint="eastAsia" w:ascii="宋体" w:hAnsi="宋体" w:cs="宋体"/>
          <w:b/>
          <w:bCs/>
          <w:spacing w:val="-11"/>
          <w:sz w:val="24"/>
        </w:rPr>
        <w:t>项目名称：</w:t>
      </w:r>
      <w:r>
        <w:rPr>
          <w:rFonts w:hint="eastAsia" w:hAnsi="宋体" w:cs="宋体"/>
          <w:b/>
          <w:bCs/>
          <w:spacing w:val="-11"/>
          <w:sz w:val="24"/>
        </w:rPr>
        <w:t>中山市公共交通运输集团有限公司</w:t>
      </w:r>
      <w:r>
        <w:rPr>
          <w:rFonts w:hint="eastAsia" w:ascii="宋体" w:hAnsi="宋体" w:cs="宋体"/>
          <w:b/>
          <w:bCs/>
          <w:spacing w:val="-11"/>
          <w:sz w:val="24"/>
        </w:rPr>
        <w:t>综合安防管理平台建设项目</w:t>
      </w:r>
    </w:p>
    <w:tbl>
      <w:tblPr>
        <w:tblStyle w:val="31"/>
        <w:tblW w:w="5000" w:type="pct"/>
        <w:tblInd w:w="0" w:type="dxa"/>
        <w:tblLayout w:type="autofit"/>
        <w:tblCellMar>
          <w:top w:w="0" w:type="dxa"/>
          <w:left w:w="108" w:type="dxa"/>
          <w:bottom w:w="0" w:type="dxa"/>
          <w:right w:w="108" w:type="dxa"/>
        </w:tblCellMar>
      </w:tblPr>
      <w:tblGrid>
        <w:gridCol w:w="5371"/>
        <w:gridCol w:w="3918"/>
      </w:tblGrid>
      <w:tr>
        <w:tblPrEx>
          <w:tblCellMar>
            <w:top w:w="0" w:type="dxa"/>
            <w:left w:w="108" w:type="dxa"/>
            <w:bottom w:w="0" w:type="dxa"/>
            <w:right w:w="108" w:type="dxa"/>
          </w:tblCellMar>
        </w:tblPrEx>
        <w:trPr>
          <w:trHeight w:val="586" w:hRule="atLeast"/>
        </w:trPr>
        <w:tc>
          <w:tcPr>
            <w:tcW w:w="28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ascii="宋体" w:hAnsi="宋体" w:cs="宋体"/>
                <w:color w:val="000000"/>
                <w:sz w:val="24"/>
              </w:rPr>
            </w:pPr>
            <w:r>
              <w:rPr>
                <w:rFonts w:hint="eastAsia" w:ascii="宋体" w:hAnsi="宋体" w:cs="宋体"/>
                <w:color w:val="000000"/>
                <w:kern w:val="0"/>
                <w:sz w:val="24"/>
                <w:lang w:bidi="ar"/>
              </w:rPr>
              <w:t>项目内容</w:t>
            </w:r>
          </w:p>
        </w:tc>
        <w:tc>
          <w:tcPr>
            <w:tcW w:w="21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int="eastAsia" w:ascii="宋体" w:hAnsi="宋体" w:eastAsia="宋体" w:cs="宋体"/>
                <w:color w:val="000000"/>
                <w:kern w:val="0"/>
                <w:sz w:val="24"/>
                <w:lang w:eastAsia="zh-CN" w:bidi="ar"/>
              </w:rPr>
            </w:pPr>
            <w:r>
              <w:rPr>
                <w:rFonts w:hint="eastAsia" w:ascii="宋体" w:hAnsi="宋体" w:cs="宋体"/>
                <w:color w:val="000000"/>
                <w:kern w:val="0"/>
                <w:sz w:val="24"/>
                <w:lang w:bidi="ar"/>
              </w:rPr>
              <w:t>报价</w:t>
            </w:r>
            <w:r>
              <w:rPr>
                <w:rFonts w:hint="eastAsia" w:ascii="宋体" w:hAnsi="宋体" w:cs="宋体"/>
                <w:color w:val="000000"/>
                <w:kern w:val="0"/>
                <w:sz w:val="24"/>
                <w:lang w:eastAsia="zh-CN" w:bidi="ar"/>
              </w:rPr>
              <w:t>（</w:t>
            </w:r>
            <w:r>
              <w:rPr>
                <w:rFonts w:hint="eastAsia" w:ascii="宋体" w:hAnsi="宋体" w:cs="宋体"/>
                <w:color w:val="000000"/>
                <w:kern w:val="0"/>
                <w:sz w:val="24"/>
                <w:lang w:val="en-US" w:eastAsia="zh-CN" w:bidi="ar"/>
              </w:rPr>
              <w:t>元，含税</w:t>
            </w:r>
            <w:r>
              <w:rPr>
                <w:rFonts w:hint="eastAsia" w:ascii="宋体" w:hAnsi="宋体" w:cs="宋体"/>
                <w:color w:val="000000"/>
                <w:kern w:val="0"/>
                <w:sz w:val="24"/>
                <w:lang w:eastAsia="zh-CN" w:bidi="ar"/>
              </w:rPr>
              <w:t>）</w:t>
            </w:r>
          </w:p>
        </w:tc>
      </w:tr>
      <w:tr>
        <w:tblPrEx>
          <w:tblCellMar>
            <w:top w:w="0" w:type="dxa"/>
            <w:left w:w="108" w:type="dxa"/>
            <w:bottom w:w="0" w:type="dxa"/>
            <w:right w:w="108" w:type="dxa"/>
          </w:tblCellMar>
        </w:tblPrEx>
        <w:trPr>
          <w:trHeight w:val="872" w:hRule="atLeast"/>
        </w:trPr>
        <w:tc>
          <w:tcPr>
            <w:tcW w:w="289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bCs/>
                <w:color w:val="000000"/>
                <w:kern w:val="0"/>
                <w:sz w:val="24"/>
                <w:lang w:bidi="ar"/>
              </w:rPr>
            </w:pPr>
            <w:r>
              <w:rPr>
                <w:rFonts w:hint="eastAsia" w:ascii="宋体" w:hAnsi="宋体" w:cs="宋体"/>
                <w:bCs/>
                <w:color w:val="000000"/>
                <w:kern w:val="0"/>
                <w:sz w:val="24"/>
                <w:lang w:bidi="ar"/>
              </w:rPr>
              <w:t>视频管理服务器</w:t>
            </w:r>
          </w:p>
          <w:p>
            <w:pPr>
              <w:spacing w:line="560" w:lineRule="exact"/>
              <w:jc w:val="center"/>
              <w:rPr>
                <w:rFonts w:ascii="宋体" w:hAnsi="宋体" w:cs="宋体"/>
                <w:color w:val="000000"/>
                <w:kern w:val="0"/>
                <w:sz w:val="24"/>
                <w:lang w:bidi="ar"/>
              </w:rPr>
            </w:pPr>
            <w:r>
              <w:rPr>
                <w:rFonts w:hint="eastAsia" w:ascii="宋体" w:hAnsi="宋体" w:cs="宋体"/>
                <w:bCs/>
                <w:color w:val="000000"/>
                <w:kern w:val="0"/>
                <w:sz w:val="24"/>
                <w:lang w:bidi="ar"/>
              </w:rPr>
              <w:t>（参数详见《需求响应表》）</w:t>
            </w:r>
          </w:p>
        </w:tc>
        <w:tc>
          <w:tcPr>
            <w:tcW w:w="2108" w:type="pct"/>
            <w:tcBorders>
              <w:top w:val="single" w:color="000000" w:sz="4" w:space="0"/>
              <w:left w:val="single" w:color="000000" w:sz="4" w:space="0"/>
              <w:bottom w:val="single" w:color="000000" w:sz="4" w:space="0"/>
              <w:right w:val="single" w:color="000000" w:sz="4" w:space="0"/>
            </w:tcBorders>
          </w:tcPr>
          <w:p>
            <w:pPr>
              <w:spacing w:line="560" w:lineRule="exact"/>
              <w:ind w:firstLine="480" w:firstLineChars="200"/>
              <w:rPr>
                <w:rFonts w:ascii="宋体" w:hAnsi="宋体" w:cs="宋体"/>
                <w:color w:val="000000"/>
                <w:kern w:val="0"/>
                <w:sz w:val="24"/>
                <w:lang w:bidi="ar"/>
              </w:rPr>
            </w:pPr>
          </w:p>
        </w:tc>
      </w:tr>
      <w:tr>
        <w:tblPrEx>
          <w:tblCellMar>
            <w:top w:w="0" w:type="dxa"/>
            <w:left w:w="108" w:type="dxa"/>
            <w:bottom w:w="0" w:type="dxa"/>
            <w:right w:w="108" w:type="dxa"/>
          </w:tblCellMar>
        </w:tblPrEx>
        <w:trPr>
          <w:trHeight w:val="1370" w:hRule="atLeast"/>
        </w:trPr>
        <w:tc>
          <w:tcPr>
            <w:tcW w:w="289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ascii="宋体" w:hAnsi="宋体" w:cs="宋体"/>
                <w:bCs/>
                <w:color w:val="000000"/>
                <w:kern w:val="0"/>
                <w:sz w:val="24"/>
                <w:lang w:bidi="ar"/>
              </w:rPr>
            </w:pPr>
            <w:r>
              <w:rPr>
                <w:rFonts w:hint="eastAsia" w:ascii="宋体" w:hAnsi="宋体" w:cs="宋体"/>
                <w:bCs/>
                <w:color w:val="000000"/>
                <w:kern w:val="0"/>
                <w:sz w:val="24"/>
                <w:lang w:bidi="ar"/>
              </w:rPr>
              <w:t>综合安防管理平台</w:t>
            </w:r>
          </w:p>
          <w:p>
            <w:pPr>
              <w:spacing w:line="560" w:lineRule="exact"/>
              <w:jc w:val="center"/>
              <w:rPr>
                <w:rFonts w:ascii="宋体" w:hAnsi="宋体" w:cs="宋体"/>
                <w:color w:val="000000"/>
                <w:kern w:val="0"/>
                <w:sz w:val="24"/>
                <w:lang w:bidi="ar"/>
              </w:rPr>
            </w:pPr>
            <w:r>
              <w:rPr>
                <w:rFonts w:hint="eastAsia" w:ascii="宋体" w:hAnsi="宋体" w:cs="宋体"/>
                <w:bCs/>
                <w:color w:val="000000"/>
                <w:kern w:val="0"/>
                <w:sz w:val="24"/>
                <w:lang w:bidi="ar"/>
              </w:rPr>
              <w:t>（参数详见《需求响应表》）</w:t>
            </w:r>
          </w:p>
        </w:tc>
        <w:tc>
          <w:tcPr>
            <w:tcW w:w="2108" w:type="pct"/>
            <w:tcBorders>
              <w:top w:val="single" w:color="000000" w:sz="4" w:space="0"/>
              <w:left w:val="single" w:color="000000" w:sz="4" w:space="0"/>
              <w:bottom w:val="single" w:color="000000" w:sz="4" w:space="0"/>
              <w:right w:val="single" w:color="000000" w:sz="4" w:space="0"/>
            </w:tcBorders>
          </w:tcPr>
          <w:p>
            <w:pPr>
              <w:spacing w:line="560" w:lineRule="exact"/>
              <w:ind w:firstLine="480" w:firstLineChars="200"/>
              <w:rPr>
                <w:rFonts w:ascii="宋体" w:hAnsi="宋体" w:cs="宋体"/>
                <w:color w:val="000000"/>
                <w:kern w:val="0"/>
                <w:sz w:val="24"/>
                <w:lang w:bidi="ar"/>
              </w:rPr>
            </w:pPr>
          </w:p>
        </w:tc>
      </w:tr>
      <w:tr>
        <w:tblPrEx>
          <w:tblCellMar>
            <w:top w:w="0" w:type="dxa"/>
            <w:left w:w="108" w:type="dxa"/>
            <w:bottom w:w="0" w:type="dxa"/>
            <w:right w:w="108" w:type="dxa"/>
          </w:tblCellMar>
        </w:tblPrEx>
        <w:trPr>
          <w:trHeight w:val="794" w:hRule="atLeast"/>
        </w:trPr>
        <w:tc>
          <w:tcPr>
            <w:tcW w:w="5000"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top"/>
              <w:rPr>
                <w:rFonts w:ascii="宋体" w:hAnsi="宋体" w:cs="宋体"/>
                <w:color w:val="000000"/>
                <w:kern w:val="0"/>
                <w:sz w:val="24"/>
                <w:lang w:bidi="ar"/>
              </w:rPr>
            </w:pPr>
            <w:r>
              <w:rPr>
                <w:rFonts w:hint="eastAsia" w:ascii="宋体" w:hAnsi="宋体" w:cs="宋体"/>
                <w:color w:val="000000"/>
                <w:kern w:val="0"/>
                <w:sz w:val="24"/>
                <w:lang w:bidi="ar"/>
              </w:rPr>
              <w:t>合计（含税）：人民币</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元</w:t>
            </w:r>
          </w:p>
        </w:tc>
      </w:tr>
    </w:tbl>
    <w:p>
      <w:pPr>
        <w:adjustRightInd w:val="0"/>
        <w:snapToGrid w:val="0"/>
        <w:spacing w:line="560" w:lineRule="exact"/>
        <w:rPr>
          <w:rFonts w:ascii="宋体" w:hAnsi="宋体"/>
          <w:bCs/>
          <w:sz w:val="24"/>
        </w:rPr>
      </w:pPr>
      <w:r>
        <w:rPr>
          <w:rFonts w:hint="eastAsia" w:ascii="宋体" w:hAnsi="宋体"/>
          <w:bCs/>
          <w:sz w:val="24"/>
        </w:rPr>
        <w:t>注：</w:t>
      </w:r>
    </w:p>
    <w:p>
      <w:pPr>
        <w:adjustRightInd w:val="0"/>
        <w:snapToGrid w:val="0"/>
        <w:spacing w:line="560" w:lineRule="exact"/>
        <w:rPr>
          <w:rFonts w:ascii="宋体" w:hAnsi="宋体" w:cs="宋体"/>
          <w:bCs/>
          <w:sz w:val="24"/>
        </w:rPr>
      </w:pPr>
      <w:r>
        <w:rPr>
          <w:rFonts w:hint="eastAsia" w:ascii="宋体" w:hAnsi="宋体" w:cs="宋体"/>
          <w:bCs/>
          <w:sz w:val="24"/>
        </w:rPr>
        <w:t>1.以上价格包含</w:t>
      </w:r>
      <w:r>
        <w:rPr>
          <w:rFonts w:hint="eastAsia" w:ascii="宋体" w:hAnsi="宋体" w:cs="宋体"/>
          <w:sz w:val="24"/>
        </w:rPr>
        <w:t>供应商完成上述项目的所需的</w:t>
      </w:r>
      <w:r>
        <w:rPr>
          <w:rFonts w:hint="eastAsia" w:ascii="宋体" w:hAnsi="宋体" w:cs="宋体"/>
          <w:bCs/>
          <w:sz w:val="24"/>
        </w:rPr>
        <w:t>包装、运输、装卸、保管、保险、各种税费</w:t>
      </w:r>
      <w:r>
        <w:rPr>
          <w:rFonts w:hint="eastAsia" w:ascii="宋体" w:hAnsi="宋体" w:cs="宋体"/>
          <w:sz w:val="24"/>
        </w:rPr>
        <w:t>等一切费用。未经采购人书面同意，供应商不得向采购人额外收取其他费用</w:t>
      </w:r>
      <w:r>
        <w:rPr>
          <w:rFonts w:hint="eastAsia" w:ascii="宋体" w:hAnsi="宋体" w:cs="宋体"/>
          <w:bCs/>
          <w:sz w:val="24"/>
        </w:rPr>
        <w:t>。</w:t>
      </w:r>
    </w:p>
    <w:p>
      <w:pPr>
        <w:adjustRightInd w:val="0"/>
        <w:snapToGrid w:val="0"/>
        <w:spacing w:line="560" w:lineRule="exact"/>
        <w:rPr>
          <w:rFonts w:ascii="宋体" w:hAnsi="宋体" w:cs="宋体"/>
          <w:bCs/>
          <w:sz w:val="24"/>
        </w:rPr>
      </w:pPr>
      <w:r>
        <w:rPr>
          <w:rFonts w:hint="eastAsia" w:ascii="宋体" w:hAnsi="宋体" w:cs="宋体"/>
          <w:bCs/>
          <w:sz w:val="24"/>
        </w:rPr>
        <w:t>2.所有价格均以人民币作为货币单位填写及计算。</w:t>
      </w:r>
    </w:p>
    <w:p>
      <w:pPr>
        <w:adjustRightInd w:val="0"/>
        <w:snapToGrid w:val="0"/>
        <w:spacing w:line="560" w:lineRule="exact"/>
        <w:rPr>
          <w:rFonts w:ascii="宋体" w:hAnsi="宋体" w:cs="宋体"/>
          <w:bCs/>
          <w:sz w:val="24"/>
        </w:rPr>
      </w:pPr>
      <w:r>
        <w:rPr>
          <w:rFonts w:hint="eastAsia" w:ascii="宋体" w:hAnsi="宋体" w:cs="宋体"/>
          <w:bCs/>
          <w:sz w:val="24"/>
        </w:rPr>
        <w:t>3.报价自报名截止之日后30天内有效。</w:t>
      </w:r>
    </w:p>
    <w:p>
      <w:pPr>
        <w:adjustRightInd w:val="0"/>
        <w:snapToGrid w:val="0"/>
        <w:spacing w:line="560" w:lineRule="exact"/>
        <w:rPr>
          <w:rFonts w:ascii="宋体" w:hAnsi="宋体"/>
          <w:bCs/>
          <w:sz w:val="24"/>
        </w:rPr>
      </w:pPr>
    </w:p>
    <w:p>
      <w:pPr>
        <w:adjustRightInd w:val="0"/>
        <w:snapToGrid w:val="0"/>
        <w:spacing w:line="560" w:lineRule="exact"/>
        <w:rPr>
          <w:rFonts w:ascii="宋体" w:hAnsi="宋体"/>
          <w:bCs/>
          <w:sz w:val="24"/>
        </w:rPr>
      </w:pPr>
      <w:r>
        <w:rPr>
          <w:rFonts w:hint="eastAsia" w:ascii="宋体" w:hAnsi="宋体"/>
          <w:bCs/>
          <w:sz w:val="24"/>
        </w:rPr>
        <w:t xml:space="preserve">参评供应商（盖章）：         </w:t>
      </w:r>
    </w:p>
    <w:p>
      <w:pPr>
        <w:adjustRightInd w:val="0"/>
        <w:snapToGrid w:val="0"/>
        <w:spacing w:line="560" w:lineRule="exact"/>
        <w:rPr>
          <w:rFonts w:ascii="宋体" w:hAnsi="宋体" w:cs="宋体"/>
          <w:sz w:val="24"/>
        </w:rPr>
      </w:pPr>
      <w:r>
        <w:rPr>
          <w:rFonts w:hint="eastAsia" w:ascii="宋体" w:hAnsi="宋体"/>
          <w:bCs/>
          <w:sz w:val="24"/>
        </w:rPr>
        <w:t>日期：</w:t>
      </w:r>
      <w:r>
        <w:rPr>
          <w:rFonts w:hint="eastAsia" w:ascii="宋体" w:hAnsi="宋体" w:cs="宋体"/>
          <w:sz w:val="24"/>
        </w:rPr>
        <w:t xml:space="preserve"> </w:t>
      </w:r>
    </w:p>
    <w:p>
      <w:pPr>
        <w:pStyle w:val="2"/>
      </w:pPr>
    </w:p>
    <w:p>
      <w:pPr>
        <w:tabs>
          <w:tab w:val="left" w:pos="1020"/>
        </w:tabs>
        <w:sectPr>
          <w:headerReference r:id="rId4" w:type="default"/>
          <w:footerReference r:id="rId5" w:type="default"/>
          <w:pgSz w:w="11907" w:h="16840"/>
          <w:pgMar w:top="1134" w:right="1417" w:bottom="1134" w:left="1417" w:header="624" w:footer="992" w:gutter="0"/>
          <w:pgBorders>
            <w:top w:val="none" w:sz="0" w:space="0"/>
            <w:left w:val="none" w:sz="0" w:space="0"/>
            <w:bottom w:val="none" w:sz="0" w:space="0"/>
            <w:right w:val="none" w:sz="0" w:space="0"/>
          </w:pgBorders>
          <w:pgNumType w:fmt="decimal"/>
          <w:cols w:space="720" w:num="1"/>
          <w:docGrid w:linePitch="312" w:charSpace="0"/>
        </w:sectPr>
      </w:pPr>
      <w:r>
        <w:tab/>
      </w:r>
    </w:p>
    <w:p>
      <w:pPr>
        <w:adjustRightInd w:val="0"/>
        <w:snapToGrid w:val="0"/>
        <w:spacing w:line="560" w:lineRule="exact"/>
        <w:jc w:val="center"/>
        <w:outlineLvl w:val="0"/>
        <w:rPr>
          <w:rFonts w:ascii="宋体" w:hAnsi="宋体" w:cs="宋体"/>
          <w:b/>
          <w:bCs/>
          <w:sz w:val="44"/>
          <w:szCs w:val="44"/>
        </w:rPr>
      </w:pPr>
      <w:r>
        <w:rPr>
          <w:rFonts w:hint="eastAsia" w:ascii="宋体" w:hAnsi="宋体" w:cs="宋体"/>
          <w:b/>
          <w:bCs/>
          <w:sz w:val="44"/>
          <w:szCs w:val="44"/>
        </w:rPr>
        <w:t>第四部分 需求响应表</w:t>
      </w:r>
    </w:p>
    <w:p>
      <w:pPr>
        <w:pStyle w:val="3"/>
      </w:pPr>
    </w:p>
    <w:p>
      <w:pPr>
        <w:pStyle w:val="16"/>
        <w:adjustRightInd w:val="0"/>
        <w:snapToGrid w:val="0"/>
        <w:spacing w:line="360" w:lineRule="auto"/>
        <w:rPr>
          <w:rFonts w:hAnsi="宋体"/>
          <w:b/>
          <w:bCs/>
          <w:sz w:val="24"/>
          <w:szCs w:val="24"/>
        </w:rPr>
      </w:pPr>
      <w:r>
        <w:rPr>
          <w:rFonts w:hint="eastAsia" w:hAnsi="宋体"/>
          <w:b/>
          <w:bCs/>
          <w:sz w:val="24"/>
          <w:szCs w:val="24"/>
        </w:rPr>
        <w:t>项目名称：中山市公共交通运输集团有限公司综合安防管理平台建设项目</w:t>
      </w:r>
    </w:p>
    <w:p>
      <w:r>
        <w:rPr>
          <w:rFonts w:hint="eastAsia"/>
        </w:rPr>
        <w:t>注：请根据实际逐条填写提供的产品参数</w:t>
      </w:r>
    </w:p>
    <w:p>
      <w:pPr>
        <w:pStyle w:val="2"/>
      </w:pPr>
    </w:p>
    <w:p>
      <w:r>
        <w:rPr>
          <w:rFonts w:hint="eastAsia" w:ascii="宋体" w:hAnsi="宋体" w:cs="宋体"/>
          <w:bCs/>
          <w:sz w:val="24"/>
        </w:rPr>
        <w:t>一、行业品牌服务器：</w:t>
      </w:r>
    </w:p>
    <w:tbl>
      <w:tblPr>
        <w:tblStyle w:val="31"/>
        <w:tblW w:w="10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3856"/>
        <w:gridCol w:w="3544"/>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242" w:type="dxa"/>
            <w:shd w:val="clear" w:color="auto" w:fill="auto"/>
          </w:tcPr>
          <w:p>
            <w:pPr>
              <w:widowControl/>
              <w:jc w:val="center"/>
              <w:rPr>
                <w:rFonts w:ascii="宋体" w:hAnsi="宋体"/>
                <w:b/>
                <w:kern w:val="0"/>
                <w:szCs w:val="21"/>
              </w:rPr>
            </w:pPr>
          </w:p>
          <w:p>
            <w:pPr>
              <w:widowControl/>
              <w:jc w:val="center"/>
              <w:rPr>
                <w:rFonts w:ascii="宋体" w:hAnsi="宋体"/>
                <w:b/>
                <w:kern w:val="0"/>
                <w:szCs w:val="21"/>
              </w:rPr>
            </w:pPr>
            <w:r>
              <w:rPr>
                <w:rFonts w:hint="eastAsia" w:ascii="宋体" w:hAnsi="宋体"/>
                <w:b/>
                <w:kern w:val="0"/>
                <w:szCs w:val="21"/>
              </w:rPr>
              <w:t>项目</w:t>
            </w:r>
          </w:p>
        </w:tc>
        <w:tc>
          <w:tcPr>
            <w:tcW w:w="3856" w:type="dxa"/>
            <w:tcBorders>
              <w:bottom w:val="single" w:color="auto" w:sz="4" w:space="0"/>
            </w:tcBorders>
            <w:shd w:val="clear" w:color="auto" w:fill="auto"/>
          </w:tcPr>
          <w:p>
            <w:pPr>
              <w:widowControl/>
              <w:jc w:val="center"/>
              <w:textAlignment w:val="center"/>
              <w:rPr>
                <w:rFonts w:ascii="宋体" w:hAnsi="宋体" w:cs="宋体"/>
                <w:b/>
                <w:bCs/>
                <w:color w:val="000000"/>
                <w:kern w:val="0"/>
                <w:szCs w:val="21"/>
                <w:lang w:bidi="ar"/>
              </w:rPr>
            </w:pPr>
          </w:p>
          <w:p>
            <w:pPr>
              <w:widowControl/>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最低参数要求</w:t>
            </w:r>
          </w:p>
        </w:tc>
        <w:tc>
          <w:tcPr>
            <w:tcW w:w="3544" w:type="dxa"/>
            <w:shd w:val="clear" w:color="auto" w:fill="auto"/>
          </w:tcPr>
          <w:p>
            <w:pPr>
              <w:widowControl/>
              <w:jc w:val="center"/>
              <w:textAlignment w:val="center"/>
              <w:rPr>
                <w:rFonts w:ascii="宋体" w:hAnsi="宋体"/>
                <w:b/>
                <w:kern w:val="0"/>
                <w:szCs w:val="21"/>
              </w:rPr>
            </w:pPr>
          </w:p>
          <w:p>
            <w:pPr>
              <w:pStyle w:val="2"/>
              <w:jc w:val="center"/>
            </w:pPr>
            <w:r>
              <w:rPr>
                <w:rFonts w:hint="eastAsia"/>
              </w:rPr>
              <w:t>提供的服务器参数（请注明型号）</w:t>
            </w:r>
          </w:p>
        </w:tc>
        <w:tc>
          <w:tcPr>
            <w:tcW w:w="1843" w:type="dxa"/>
          </w:tcPr>
          <w:p>
            <w:pPr>
              <w:widowControl/>
              <w:jc w:val="center"/>
              <w:textAlignment w:val="center"/>
              <w:rPr>
                <w:rFonts w:ascii="宋体" w:hAnsi="宋体"/>
                <w:b/>
                <w:kern w:val="0"/>
                <w:szCs w:val="21"/>
              </w:rPr>
            </w:pPr>
          </w:p>
          <w:p>
            <w:pPr>
              <w:widowControl/>
              <w:jc w:val="center"/>
              <w:textAlignment w:val="center"/>
              <w:rPr>
                <w:rFonts w:ascii="宋体" w:hAnsi="宋体"/>
                <w:b/>
                <w:kern w:val="0"/>
                <w:szCs w:val="21"/>
              </w:rPr>
            </w:pPr>
            <w:r>
              <w:rPr>
                <w:rFonts w:hint="eastAsia"/>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242" w:type="dxa"/>
            <w:shd w:val="clear" w:color="auto" w:fill="auto"/>
          </w:tcPr>
          <w:p>
            <w:pPr>
              <w:jc w:val="left"/>
              <w:textAlignment w:val="center"/>
              <w:rPr>
                <w:rFonts w:ascii="宋体" w:hAnsi="宋体"/>
                <w:szCs w:val="21"/>
              </w:rPr>
            </w:pPr>
            <w:r>
              <w:rPr>
                <w:rFonts w:hint="eastAsia" w:ascii="宋体" w:hAnsi="宋体"/>
                <w:szCs w:val="21"/>
              </w:rPr>
              <w:t>品牌型号</w:t>
            </w:r>
          </w:p>
        </w:tc>
        <w:tc>
          <w:tcPr>
            <w:tcW w:w="3856" w:type="dxa"/>
            <w:tcBorders>
              <w:tl2br w:val="single" w:color="auto" w:sz="4" w:space="0"/>
            </w:tcBorders>
            <w:shd w:val="clear" w:color="auto" w:fill="auto"/>
          </w:tcPr>
          <w:p>
            <w:pPr>
              <w:jc w:val="left"/>
              <w:textAlignment w:val="center"/>
              <w:rPr>
                <w:rFonts w:ascii="宋体" w:hAnsi="宋体"/>
                <w:szCs w:val="21"/>
              </w:rPr>
            </w:pPr>
          </w:p>
        </w:tc>
        <w:tc>
          <w:tcPr>
            <w:tcW w:w="3544" w:type="dxa"/>
            <w:shd w:val="clear" w:color="auto" w:fill="auto"/>
          </w:tcPr>
          <w:p>
            <w:pPr>
              <w:rPr>
                <w:rFonts w:ascii="宋体" w:hAnsi="宋体"/>
                <w:szCs w:val="21"/>
              </w:rPr>
            </w:pPr>
          </w:p>
        </w:tc>
        <w:tc>
          <w:tcPr>
            <w:tcW w:w="1843" w:type="dxa"/>
            <w:vAlign w:val="center"/>
          </w:tcPr>
          <w:p>
            <w:r>
              <w:rPr>
                <w:rFonts w:hint="eastAsia"/>
              </w:rPr>
              <w:t xml:space="preserve">□完全响应  </w:t>
            </w:r>
          </w:p>
          <w:p>
            <w:pPr>
              <w:rPr>
                <w:rFonts w:ascii="宋体" w:hAnsi="宋体"/>
                <w:szCs w:val="21"/>
              </w:rPr>
            </w:pPr>
            <w:r>
              <w:rPr>
                <w:rFonts w:hint="eastAsia"/>
              </w:rPr>
              <w:t>□部分响应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242" w:type="dxa"/>
            <w:shd w:val="clear" w:color="auto" w:fill="auto"/>
          </w:tcPr>
          <w:p>
            <w:pPr>
              <w:jc w:val="left"/>
              <w:textAlignment w:val="center"/>
              <w:rPr>
                <w:rFonts w:ascii="宋体" w:hAnsi="宋体"/>
                <w:szCs w:val="21"/>
              </w:rPr>
            </w:pPr>
            <w:r>
              <w:rPr>
                <w:rFonts w:hint="eastAsia" w:ascii="宋体" w:hAnsi="宋体"/>
                <w:szCs w:val="21"/>
              </w:rPr>
              <w:t>处理器</w:t>
            </w:r>
          </w:p>
        </w:tc>
        <w:tc>
          <w:tcPr>
            <w:tcW w:w="3856" w:type="dxa"/>
            <w:shd w:val="clear" w:color="auto" w:fill="auto"/>
          </w:tcPr>
          <w:p>
            <w:pPr>
              <w:jc w:val="left"/>
              <w:textAlignment w:val="center"/>
              <w:rPr>
                <w:rFonts w:ascii="宋体" w:hAnsi="宋体"/>
                <w:szCs w:val="21"/>
              </w:rPr>
            </w:pPr>
            <w:r>
              <w:rPr>
                <w:rFonts w:hint="eastAsia" w:ascii="宋体" w:hAnsi="宋体"/>
                <w:szCs w:val="21"/>
              </w:rPr>
              <w:t>不少于1颗CPU(≥10核)</w:t>
            </w:r>
          </w:p>
        </w:tc>
        <w:tc>
          <w:tcPr>
            <w:tcW w:w="3544" w:type="dxa"/>
            <w:shd w:val="clear" w:color="auto" w:fill="auto"/>
          </w:tcPr>
          <w:p>
            <w:pPr>
              <w:rPr>
                <w:rFonts w:ascii="宋体" w:hAnsi="宋体"/>
                <w:szCs w:val="21"/>
              </w:rPr>
            </w:pPr>
          </w:p>
        </w:tc>
        <w:tc>
          <w:tcPr>
            <w:tcW w:w="1843" w:type="dxa"/>
            <w:vAlign w:val="center"/>
          </w:tcPr>
          <w:p>
            <w:r>
              <w:rPr>
                <w:rFonts w:hint="eastAsia"/>
              </w:rPr>
              <w:t xml:space="preserve">□完全响应  </w:t>
            </w:r>
          </w:p>
          <w:p>
            <w:pPr>
              <w:rPr>
                <w:rFonts w:ascii="宋体" w:hAnsi="宋体"/>
                <w:szCs w:val="21"/>
              </w:rPr>
            </w:pPr>
            <w:r>
              <w:rPr>
                <w:rFonts w:hint="eastAsia"/>
              </w:rPr>
              <w:t>□部分响应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42" w:type="dxa"/>
            <w:shd w:val="clear" w:color="auto" w:fill="auto"/>
          </w:tcPr>
          <w:p>
            <w:pPr>
              <w:jc w:val="left"/>
              <w:textAlignment w:val="center"/>
              <w:rPr>
                <w:rFonts w:ascii="宋体" w:hAnsi="宋体"/>
                <w:szCs w:val="21"/>
              </w:rPr>
            </w:pPr>
            <w:r>
              <w:rPr>
                <w:rFonts w:hint="eastAsia" w:ascii="宋体" w:hAnsi="宋体"/>
                <w:szCs w:val="21"/>
              </w:rPr>
              <w:t>内存</w:t>
            </w:r>
          </w:p>
        </w:tc>
        <w:tc>
          <w:tcPr>
            <w:tcW w:w="3856" w:type="dxa"/>
            <w:shd w:val="clear" w:color="auto" w:fill="auto"/>
          </w:tcPr>
          <w:p>
            <w:pPr>
              <w:jc w:val="left"/>
              <w:textAlignment w:val="center"/>
              <w:rPr>
                <w:rFonts w:ascii="宋体" w:hAnsi="宋体"/>
                <w:szCs w:val="21"/>
              </w:rPr>
            </w:pPr>
            <w:r>
              <w:rPr>
                <w:rFonts w:hint="eastAsia" w:ascii="宋体" w:hAnsi="宋体"/>
                <w:szCs w:val="21"/>
              </w:rPr>
              <w:t>标配≥</w:t>
            </w:r>
            <w:r>
              <w:rPr>
                <w:rFonts w:ascii="宋体" w:hAnsi="宋体"/>
                <w:szCs w:val="21"/>
              </w:rPr>
              <w:t>64</w:t>
            </w:r>
            <w:r>
              <w:rPr>
                <w:rFonts w:hint="eastAsia" w:ascii="宋体" w:hAnsi="宋体"/>
                <w:szCs w:val="21"/>
              </w:rPr>
              <w:t>G DDR4</w:t>
            </w:r>
          </w:p>
          <w:p>
            <w:pPr>
              <w:jc w:val="left"/>
              <w:textAlignment w:val="center"/>
              <w:rPr>
                <w:rFonts w:ascii="宋体" w:hAnsi="宋体"/>
                <w:szCs w:val="21"/>
              </w:rPr>
            </w:pPr>
            <w:r>
              <w:rPr>
                <w:rFonts w:hint="eastAsia" w:ascii="宋体" w:hAnsi="宋体"/>
                <w:szCs w:val="21"/>
              </w:rPr>
              <w:t>扩展≥16根内存插槽，最大可扩展至2TB内存</w:t>
            </w:r>
          </w:p>
        </w:tc>
        <w:tc>
          <w:tcPr>
            <w:tcW w:w="3544" w:type="dxa"/>
            <w:shd w:val="clear" w:color="auto" w:fill="auto"/>
          </w:tcPr>
          <w:p>
            <w:pPr>
              <w:rPr>
                <w:rFonts w:ascii="宋体" w:hAnsi="宋体"/>
                <w:szCs w:val="21"/>
              </w:rPr>
            </w:pPr>
          </w:p>
        </w:tc>
        <w:tc>
          <w:tcPr>
            <w:tcW w:w="1843" w:type="dxa"/>
            <w:vAlign w:val="center"/>
          </w:tcPr>
          <w:p>
            <w:r>
              <w:rPr>
                <w:rFonts w:hint="eastAsia"/>
              </w:rPr>
              <w:t xml:space="preserve">□完全响应  </w:t>
            </w:r>
          </w:p>
          <w:p>
            <w:pPr>
              <w:rPr>
                <w:rFonts w:ascii="宋体" w:hAnsi="宋体"/>
                <w:szCs w:val="21"/>
              </w:rPr>
            </w:pPr>
            <w:r>
              <w:rPr>
                <w:rFonts w:hint="eastAsia"/>
              </w:rPr>
              <w:t>□部分响应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242" w:type="dxa"/>
            <w:shd w:val="clear" w:color="auto" w:fill="auto"/>
          </w:tcPr>
          <w:p>
            <w:pPr>
              <w:jc w:val="left"/>
              <w:textAlignment w:val="center"/>
              <w:rPr>
                <w:rFonts w:ascii="宋体" w:hAnsi="宋体"/>
                <w:szCs w:val="21"/>
              </w:rPr>
            </w:pPr>
            <w:r>
              <w:rPr>
                <w:rFonts w:hint="eastAsia" w:ascii="宋体" w:hAnsi="宋体"/>
                <w:szCs w:val="21"/>
              </w:rPr>
              <w:t>网络控制器</w:t>
            </w:r>
          </w:p>
        </w:tc>
        <w:tc>
          <w:tcPr>
            <w:tcW w:w="3856" w:type="dxa"/>
            <w:shd w:val="clear" w:color="auto" w:fill="auto"/>
          </w:tcPr>
          <w:p>
            <w:pPr>
              <w:jc w:val="left"/>
              <w:textAlignment w:val="center"/>
              <w:rPr>
                <w:rFonts w:ascii="宋体" w:hAnsi="宋体"/>
                <w:szCs w:val="21"/>
              </w:rPr>
            </w:pPr>
            <w:r>
              <w:rPr>
                <w:rFonts w:hint="eastAsia" w:ascii="宋体" w:hAnsi="宋体"/>
                <w:szCs w:val="21"/>
              </w:rPr>
              <w:t>标配≥2个千兆RJ45电口</w:t>
            </w:r>
          </w:p>
        </w:tc>
        <w:tc>
          <w:tcPr>
            <w:tcW w:w="3544" w:type="dxa"/>
            <w:shd w:val="clear" w:color="auto" w:fill="auto"/>
          </w:tcPr>
          <w:p>
            <w:pPr>
              <w:rPr>
                <w:rFonts w:ascii="宋体" w:hAnsi="宋体"/>
                <w:szCs w:val="21"/>
              </w:rPr>
            </w:pPr>
          </w:p>
        </w:tc>
        <w:tc>
          <w:tcPr>
            <w:tcW w:w="1843" w:type="dxa"/>
            <w:vAlign w:val="center"/>
          </w:tcPr>
          <w:p>
            <w:r>
              <w:rPr>
                <w:rFonts w:hint="eastAsia"/>
              </w:rPr>
              <w:t xml:space="preserve">□完全响应  </w:t>
            </w:r>
          </w:p>
          <w:p>
            <w:pPr>
              <w:rPr>
                <w:rFonts w:ascii="宋体" w:hAnsi="宋体"/>
                <w:szCs w:val="21"/>
              </w:rPr>
            </w:pPr>
            <w:r>
              <w:rPr>
                <w:rFonts w:hint="eastAsia"/>
              </w:rPr>
              <w:t>□部分响应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42" w:type="dxa"/>
            <w:shd w:val="clear" w:color="auto" w:fill="auto"/>
          </w:tcPr>
          <w:p>
            <w:pPr>
              <w:jc w:val="left"/>
              <w:textAlignment w:val="center"/>
              <w:rPr>
                <w:rFonts w:ascii="宋体" w:hAnsi="宋体"/>
                <w:szCs w:val="21"/>
              </w:rPr>
            </w:pPr>
            <w:r>
              <w:rPr>
                <w:rFonts w:hint="eastAsia" w:ascii="宋体" w:hAnsi="宋体"/>
                <w:szCs w:val="21"/>
              </w:rPr>
              <w:t>PCIE扩展</w:t>
            </w:r>
          </w:p>
        </w:tc>
        <w:tc>
          <w:tcPr>
            <w:tcW w:w="3856" w:type="dxa"/>
            <w:shd w:val="clear" w:color="auto" w:fill="auto"/>
          </w:tcPr>
          <w:p>
            <w:pPr>
              <w:jc w:val="left"/>
              <w:textAlignment w:val="center"/>
              <w:rPr>
                <w:rFonts w:ascii="宋体" w:hAnsi="宋体"/>
                <w:szCs w:val="21"/>
              </w:rPr>
            </w:pPr>
            <w:r>
              <w:rPr>
                <w:rFonts w:hint="eastAsia" w:ascii="宋体" w:hAnsi="宋体"/>
                <w:szCs w:val="21"/>
              </w:rPr>
              <w:t>最大可支持≥6个PCIe扩展插槽</w:t>
            </w:r>
          </w:p>
        </w:tc>
        <w:tc>
          <w:tcPr>
            <w:tcW w:w="3544" w:type="dxa"/>
            <w:shd w:val="clear" w:color="auto" w:fill="auto"/>
          </w:tcPr>
          <w:p>
            <w:pPr>
              <w:rPr>
                <w:rFonts w:ascii="宋体" w:hAnsi="宋体"/>
                <w:szCs w:val="21"/>
              </w:rPr>
            </w:pPr>
          </w:p>
        </w:tc>
        <w:tc>
          <w:tcPr>
            <w:tcW w:w="1843" w:type="dxa"/>
            <w:vAlign w:val="center"/>
          </w:tcPr>
          <w:p>
            <w:r>
              <w:rPr>
                <w:rFonts w:hint="eastAsia"/>
              </w:rPr>
              <w:t xml:space="preserve">□完全响应  </w:t>
            </w:r>
          </w:p>
          <w:p>
            <w:pPr>
              <w:rPr>
                <w:rFonts w:ascii="宋体" w:hAnsi="宋体"/>
                <w:szCs w:val="21"/>
              </w:rPr>
            </w:pPr>
            <w:r>
              <w:rPr>
                <w:rFonts w:hint="eastAsia"/>
              </w:rPr>
              <w:t>□部分响应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242" w:type="dxa"/>
            <w:shd w:val="clear" w:color="auto" w:fill="auto"/>
          </w:tcPr>
          <w:p>
            <w:pPr>
              <w:jc w:val="left"/>
              <w:textAlignment w:val="center"/>
              <w:rPr>
                <w:rFonts w:ascii="宋体" w:hAnsi="宋体"/>
                <w:szCs w:val="21"/>
              </w:rPr>
            </w:pPr>
            <w:r>
              <w:rPr>
                <w:rFonts w:hint="eastAsia" w:ascii="宋体" w:hAnsi="宋体"/>
                <w:szCs w:val="21"/>
              </w:rPr>
              <w:t>硬盘控制器</w:t>
            </w:r>
          </w:p>
        </w:tc>
        <w:tc>
          <w:tcPr>
            <w:tcW w:w="3856" w:type="dxa"/>
            <w:shd w:val="clear" w:color="auto" w:fill="auto"/>
          </w:tcPr>
          <w:p>
            <w:pPr>
              <w:jc w:val="left"/>
              <w:textAlignment w:val="center"/>
              <w:rPr>
                <w:rFonts w:ascii="宋体" w:hAnsi="宋体"/>
                <w:szCs w:val="21"/>
              </w:rPr>
            </w:pPr>
            <w:r>
              <w:rPr>
                <w:rFonts w:hint="eastAsia" w:ascii="宋体" w:hAnsi="宋体"/>
                <w:szCs w:val="21"/>
              </w:rPr>
              <w:t xml:space="preserve">标配SAS_HBA 卡，支持RAID 0/1/10  </w:t>
            </w:r>
          </w:p>
        </w:tc>
        <w:tc>
          <w:tcPr>
            <w:tcW w:w="3544" w:type="dxa"/>
            <w:shd w:val="clear" w:color="auto" w:fill="auto"/>
          </w:tcPr>
          <w:p>
            <w:pPr>
              <w:rPr>
                <w:rFonts w:ascii="宋体" w:hAnsi="宋体"/>
                <w:szCs w:val="21"/>
              </w:rPr>
            </w:pPr>
          </w:p>
        </w:tc>
        <w:tc>
          <w:tcPr>
            <w:tcW w:w="1843" w:type="dxa"/>
            <w:vAlign w:val="center"/>
          </w:tcPr>
          <w:p>
            <w:r>
              <w:rPr>
                <w:rFonts w:hint="eastAsia"/>
              </w:rPr>
              <w:t xml:space="preserve">□完全响应  </w:t>
            </w:r>
          </w:p>
          <w:p>
            <w:pPr>
              <w:rPr>
                <w:rFonts w:ascii="宋体" w:hAnsi="宋体"/>
                <w:szCs w:val="21"/>
              </w:rPr>
            </w:pPr>
            <w:r>
              <w:rPr>
                <w:rFonts w:hint="eastAsia"/>
              </w:rPr>
              <w:t>□部分响应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42" w:type="dxa"/>
            <w:shd w:val="clear" w:color="auto" w:fill="auto"/>
          </w:tcPr>
          <w:p>
            <w:pPr>
              <w:jc w:val="left"/>
              <w:textAlignment w:val="center"/>
              <w:rPr>
                <w:rFonts w:ascii="宋体" w:hAnsi="宋体"/>
                <w:szCs w:val="21"/>
              </w:rPr>
            </w:pPr>
            <w:r>
              <w:rPr>
                <w:rFonts w:hint="eastAsia" w:ascii="宋体" w:hAnsi="宋体"/>
                <w:szCs w:val="21"/>
              </w:rPr>
              <w:t>存储</w:t>
            </w:r>
          </w:p>
        </w:tc>
        <w:tc>
          <w:tcPr>
            <w:tcW w:w="3856" w:type="dxa"/>
            <w:shd w:val="clear" w:color="auto" w:fill="auto"/>
          </w:tcPr>
          <w:p>
            <w:pPr>
              <w:jc w:val="left"/>
              <w:textAlignment w:val="center"/>
              <w:rPr>
                <w:rFonts w:ascii="宋体" w:hAnsi="宋体"/>
                <w:szCs w:val="21"/>
              </w:rPr>
            </w:pPr>
            <w:r>
              <w:rPr>
                <w:rFonts w:hint="eastAsia" w:ascii="宋体" w:hAnsi="宋体"/>
                <w:szCs w:val="21"/>
              </w:rPr>
              <w:t>标配≥</w:t>
            </w:r>
            <w:r>
              <w:rPr>
                <w:rFonts w:ascii="宋体" w:hAnsi="宋体"/>
                <w:szCs w:val="21"/>
              </w:rPr>
              <w:t>4</w:t>
            </w:r>
            <w:r>
              <w:rPr>
                <w:rFonts w:hint="eastAsia" w:ascii="宋体" w:hAnsi="宋体"/>
                <w:szCs w:val="21"/>
              </w:rPr>
              <w:t>块</w:t>
            </w:r>
            <w:r>
              <w:rPr>
                <w:rFonts w:ascii="宋体" w:hAnsi="宋体"/>
                <w:szCs w:val="21"/>
              </w:rPr>
              <w:t>600GB</w:t>
            </w:r>
            <w:r>
              <w:rPr>
                <w:rFonts w:hint="eastAsia" w:ascii="宋体" w:hAnsi="宋体"/>
                <w:szCs w:val="21"/>
              </w:rPr>
              <w:t xml:space="preserve"> </w:t>
            </w:r>
            <w:r>
              <w:rPr>
                <w:rFonts w:ascii="宋体" w:hAnsi="宋体"/>
                <w:szCs w:val="21"/>
              </w:rPr>
              <w:t>2</w:t>
            </w:r>
            <w:r>
              <w:rPr>
                <w:rFonts w:hint="eastAsia" w:ascii="宋体" w:hAnsi="宋体"/>
                <w:szCs w:val="21"/>
              </w:rPr>
              <w:t>.5英寸SAS盘</w:t>
            </w:r>
          </w:p>
        </w:tc>
        <w:tc>
          <w:tcPr>
            <w:tcW w:w="3544" w:type="dxa"/>
            <w:shd w:val="clear" w:color="auto" w:fill="auto"/>
          </w:tcPr>
          <w:p>
            <w:pPr>
              <w:rPr>
                <w:rFonts w:ascii="宋体" w:hAnsi="宋体"/>
                <w:szCs w:val="21"/>
              </w:rPr>
            </w:pPr>
          </w:p>
        </w:tc>
        <w:tc>
          <w:tcPr>
            <w:tcW w:w="1843" w:type="dxa"/>
            <w:vAlign w:val="center"/>
          </w:tcPr>
          <w:p>
            <w:r>
              <w:rPr>
                <w:rFonts w:hint="eastAsia"/>
              </w:rPr>
              <w:t xml:space="preserve">□完全响应  </w:t>
            </w:r>
          </w:p>
          <w:p>
            <w:pPr>
              <w:rPr>
                <w:rFonts w:ascii="宋体" w:hAnsi="宋体"/>
                <w:szCs w:val="21"/>
              </w:rPr>
            </w:pPr>
            <w:r>
              <w:rPr>
                <w:rFonts w:hint="eastAsia"/>
              </w:rPr>
              <w:t>□部分响应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42" w:type="dxa"/>
            <w:shd w:val="clear" w:color="auto" w:fill="auto"/>
          </w:tcPr>
          <w:p>
            <w:pPr>
              <w:jc w:val="left"/>
              <w:textAlignment w:val="center"/>
              <w:rPr>
                <w:rFonts w:ascii="宋体" w:hAnsi="宋体"/>
                <w:szCs w:val="21"/>
              </w:rPr>
            </w:pPr>
            <w:r>
              <w:rPr>
                <w:rFonts w:hint="eastAsia" w:ascii="宋体" w:hAnsi="宋体"/>
                <w:szCs w:val="21"/>
              </w:rPr>
              <w:t>其他端口</w:t>
            </w:r>
          </w:p>
        </w:tc>
        <w:tc>
          <w:tcPr>
            <w:tcW w:w="3856" w:type="dxa"/>
            <w:shd w:val="clear" w:color="auto" w:fill="auto"/>
          </w:tcPr>
          <w:p>
            <w:pPr>
              <w:jc w:val="left"/>
              <w:textAlignment w:val="center"/>
              <w:rPr>
                <w:rFonts w:ascii="宋体" w:hAnsi="宋体"/>
                <w:szCs w:val="21"/>
              </w:rPr>
            </w:pPr>
            <w:r>
              <w:rPr>
                <w:rFonts w:hint="eastAsia" w:ascii="宋体" w:hAnsi="宋体"/>
                <w:szCs w:val="21"/>
              </w:rPr>
              <w:t>≥1个千兆RJ-45管理接口</w:t>
            </w:r>
          </w:p>
          <w:p>
            <w:pPr>
              <w:jc w:val="left"/>
              <w:textAlignment w:val="center"/>
              <w:rPr>
                <w:rFonts w:ascii="宋体" w:hAnsi="宋体"/>
                <w:szCs w:val="21"/>
              </w:rPr>
            </w:pPr>
            <w:r>
              <w:rPr>
                <w:rFonts w:hint="eastAsia" w:ascii="宋体" w:hAnsi="宋体"/>
                <w:szCs w:val="21"/>
              </w:rPr>
              <w:t>≥4个USB接口</w:t>
            </w:r>
          </w:p>
          <w:p>
            <w:pPr>
              <w:jc w:val="left"/>
              <w:textAlignment w:val="center"/>
              <w:rPr>
                <w:rFonts w:ascii="宋体" w:hAnsi="宋体"/>
                <w:szCs w:val="21"/>
              </w:rPr>
            </w:pPr>
            <w:r>
              <w:rPr>
                <w:rFonts w:hint="eastAsia" w:ascii="宋体" w:hAnsi="宋体"/>
                <w:szCs w:val="21"/>
              </w:rPr>
              <w:t>≥1个VGA接口</w:t>
            </w:r>
          </w:p>
        </w:tc>
        <w:tc>
          <w:tcPr>
            <w:tcW w:w="3544" w:type="dxa"/>
            <w:shd w:val="clear" w:color="auto" w:fill="auto"/>
          </w:tcPr>
          <w:p>
            <w:pPr>
              <w:rPr>
                <w:rFonts w:ascii="宋体" w:hAnsi="宋体"/>
                <w:szCs w:val="21"/>
              </w:rPr>
            </w:pPr>
          </w:p>
        </w:tc>
        <w:tc>
          <w:tcPr>
            <w:tcW w:w="1843" w:type="dxa"/>
            <w:vAlign w:val="center"/>
          </w:tcPr>
          <w:p>
            <w:r>
              <w:rPr>
                <w:rFonts w:hint="eastAsia"/>
              </w:rPr>
              <w:t xml:space="preserve">□完全响应  </w:t>
            </w:r>
          </w:p>
          <w:p>
            <w:pPr>
              <w:rPr>
                <w:rFonts w:ascii="宋体" w:hAnsi="宋体"/>
                <w:szCs w:val="21"/>
              </w:rPr>
            </w:pPr>
            <w:r>
              <w:rPr>
                <w:rFonts w:hint="eastAsia"/>
              </w:rPr>
              <w:t>□部分响应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42" w:type="dxa"/>
            <w:shd w:val="clear" w:color="auto" w:fill="auto"/>
          </w:tcPr>
          <w:p>
            <w:pPr>
              <w:jc w:val="left"/>
              <w:textAlignment w:val="center"/>
              <w:rPr>
                <w:rFonts w:ascii="宋体" w:hAnsi="宋体"/>
                <w:szCs w:val="21"/>
              </w:rPr>
            </w:pPr>
            <w:r>
              <w:rPr>
                <w:rFonts w:hint="eastAsia" w:ascii="宋体" w:hAnsi="宋体"/>
                <w:szCs w:val="21"/>
              </w:rPr>
              <w:t>电源</w:t>
            </w:r>
          </w:p>
        </w:tc>
        <w:tc>
          <w:tcPr>
            <w:tcW w:w="3856" w:type="dxa"/>
            <w:shd w:val="clear" w:color="auto" w:fill="auto"/>
          </w:tcPr>
          <w:p>
            <w:pPr>
              <w:jc w:val="left"/>
              <w:textAlignment w:val="center"/>
              <w:rPr>
                <w:rFonts w:ascii="宋体" w:hAnsi="宋体"/>
                <w:szCs w:val="21"/>
              </w:rPr>
            </w:pPr>
            <w:r>
              <w:rPr>
                <w:rFonts w:hint="eastAsia" w:ascii="宋体" w:hAnsi="宋体"/>
                <w:szCs w:val="21"/>
              </w:rPr>
              <w:t>高效能550W（1+1）白金冗余电源</w:t>
            </w:r>
          </w:p>
          <w:p>
            <w:pPr>
              <w:jc w:val="left"/>
              <w:textAlignment w:val="center"/>
              <w:rPr>
                <w:rFonts w:ascii="宋体" w:hAnsi="宋体"/>
                <w:szCs w:val="21"/>
              </w:rPr>
            </w:pPr>
            <w:r>
              <w:rPr>
                <w:rFonts w:hint="eastAsia" w:ascii="宋体" w:hAnsi="宋体"/>
                <w:szCs w:val="21"/>
              </w:rPr>
              <w:t>支持200-240V 50/60Hz AC/HVDC</w:t>
            </w:r>
          </w:p>
        </w:tc>
        <w:tc>
          <w:tcPr>
            <w:tcW w:w="3544" w:type="dxa"/>
            <w:shd w:val="clear" w:color="auto" w:fill="auto"/>
          </w:tcPr>
          <w:p>
            <w:pPr>
              <w:rPr>
                <w:rFonts w:ascii="宋体" w:hAnsi="宋体"/>
                <w:szCs w:val="21"/>
              </w:rPr>
            </w:pPr>
          </w:p>
        </w:tc>
        <w:tc>
          <w:tcPr>
            <w:tcW w:w="1843" w:type="dxa"/>
            <w:vAlign w:val="center"/>
          </w:tcPr>
          <w:p>
            <w:r>
              <w:rPr>
                <w:rFonts w:hint="eastAsia"/>
              </w:rPr>
              <w:t xml:space="preserve">□完全响应  </w:t>
            </w:r>
          </w:p>
          <w:p>
            <w:pPr>
              <w:rPr>
                <w:rFonts w:ascii="宋体" w:hAnsi="宋体"/>
                <w:szCs w:val="21"/>
              </w:rPr>
            </w:pPr>
            <w:r>
              <w:rPr>
                <w:rFonts w:hint="eastAsia"/>
              </w:rPr>
              <w:t>□部分响应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242" w:type="dxa"/>
            <w:shd w:val="clear" w:color="auto" w:fill="auto"/>
          </w:tcPr>
          <w:p>
            <w:pPr>
              <w:jc w:val="left"/>
              <w:textAlignment w:val="center"/>
              <w:rPr>
                <w:rFonts w:ascii="宋体" w:hAnsi="宋体"/>
                <w:szCs w:val="21"/>
              </w:rPr>
            </w:pPr>
            <w:r>
              <w:rPr>
                <w:rFonts w:hint="eastAsia" w:ascii="宋体" w:hAnsi="宋体"/>
                <w:szCs w:val="21"/>
              </w:rPr>
              <w:t>散热</w:t>
            </w:r>
          </w:p>
        </w:tc>
        <w:tc>
          <w:tcPr>
            <w:tcW w:w="3856" w:type="dxa"/>
            <w:shd w:val="clear" w:color="auto" w:fill="auto"/>
          </w:tcPr>
          <w:p>
            <w:pPr>
              <w:jc w:val="left"/>
              <w:textAlignment w:val="center"/>
              <w:rPr>
                <w:rFonts w:ascii="宋体" w:hAnsi="宋体"/>
                <w:szCs w:val="21"/>
              </w:rPr>
            </w:pPr>
            <w:r>
              <w:rPr>
                <w:rFonts w:hint="eastAsia" w:ascii="宋体" w:hAnsi="宋体"/>
                <w:szCs w:val="21"/>
              </w:rPr>
              <w:t>≥3组热插拔冗余风扇</w:t>
            </w:r>
          </w:p>
        </w:tc>
        <w:tc>
          <w:tcPr>
            <w:tcW w:w="3544" w:type="dxa"/>
            <w:shd w:val="clear" w:color="auto" w:fill="auto"/>
          </w:tcPr>
          <w:p>
            <w:pPr>
              <w:rPr>
                <w:rFonts w:ascii="宋体" w:hAnsi="宋体"/>
                <w:szCs w:val="21"/>
              </w:rPr>
            </w:pPr>
          </w:p>
        </w:tc>
        <w:tc>
          <w:tcPr>
            <w:tcW w:w="1843" w:type="dxa"/>
            <w:vAlign w:val="center"/>
          </w:tcPr>
          <w:p>
            <w:r>
              <w:rPr>
                <w:rFonts w:hint="eastAsia"/>
              </w:rPr>
              <w:t xml:space="preserve">□完全响应  </w:t>
            </w:r>
          </w:p>
          <w:p>
            <w:pPr>
              <w:rPr>
                <w:rFonts w:ascii="宋体" w:hAnsi="宋体"/>
                <w:szCs w:val="21"/>
              </w:rPr>
            </w:pPr>
            <w:r>
              <w:rPr>
                <w:rFonts w:hint="eastAsia"/>
              </w:rPr>
              <w:t>□部分响应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242" w:type="dxa"/>
            <w:shd w:val="clear" w:color="auto" w:fill="auto"/>
          </w:tcPr>
          <w:p>
            <w:pPr>
              <w:jc w:val="left"/>
              <w:textAlignment w:val="center"/>
              <w:rPr>
                <w:rFonts w:ascii="宋体" w:hAnsi="宋体"/>
                <w:szCs w:val="21"/>
              </w:rPr>
            </w:pPr>
            <w:r>
              <w:rPr>
                <w:rFonts w:hint="eastAsia" w:ascii="宋体" w:hAnsi="宋体"/>
                <w:szCs w:val="21"/>
              </w:rPr>
              <w:t>管理功能</w:t>
            </w:r>
          </w:p>
        </w:tc>
        <w:tc>
          <w:tcPr>
            <w:tcW w:w="3856" w:type="dxa"/>
            <w:shd w:val="clear" w:color="auto" w:fill="auto"/>
          </w:tcPr>
          <w:p>
            <w:pPr>
              <w:jc w:val="left"/>
              <w:textAlignment w:val="center"/>
              <w:rPr>
                <w:rFonts w:ascii="宋体" w:hAnsi="宋体"/>
                <w:szCs w:val="21"/>
              </w:rPr>
            </w:pPr>
            <w:r>
              <w:rPr>
                <w:rFonts w:hint="eastAsia" w:ascii="宋体" w:hAnsi="宋体"/>
                <w:szCs w:val="21"/>
              </w:rPr>
              <w:t>集成BMC芯片，支持IPMI2.0和KVM Over IP高级管理功能</w:t>
            </w:r>
          </w:p>
        </w:tc>
        <w:tc>
          <w:tcPr>
            <w:tcW w:w="3544" w:type="dxa"/>
            <w:shd w:val="clear" w:color="auto" w:fill="auto"/>
          </w:tcPr>
          <w:p>
            <w:pPr>
              <w:rPr>
                <w:rFonts w:ascii="宋体" w:hAnsi="宋体"/>
                <w:szCs w:val="21"/>
              </w:rPr>
            </w:pPr>
          </w:p>
        </w:tc>
        <w:tc>
          <w:tcPr>
            <w:tcW w:w="1843" w:type="dxa"/>
            <w:vAlign w:val="center"/>
          </w:tcPr>
          <w:p>
            <w:r>
              <w:rPr>
                <w:rFonts w:hint="eastAsia"/>
              </w:rPr>
              <w:t xml:space="preserve">□完全响应  </w:t>
            </w:r>
          </w:p>
          <w:p>
            <w:pPr>
              <w:rPr>
                <w:rFonts w:ascii="宋体" w:hAnsi="宋体"/>
                <w:szCs w:val="21"/>
              </w:rPr>
            </w:pPr>
            <w:r>
              <w:rPr>
                <w:rFonts w:hint="eastAsia"/>
              </w:rPr>
              <w:t>□部分响应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242" w:type="dxa"/>
            <w:shd w:val="clear" w:color="auto" w:fill="auto"/>
          </w:tcPr>
          <w:p>
            <w:pPr>
              <w:jc w:val="left"/>
              <w:textAlignment w:val="center"/>
              <w:rPr>
                <w:rFonts w:ascii="宋体" w:hAnsi="宋体"/>
                <w:szCs w:val="21"/>
              </w:rPr>
            </w:pPr>
            <w:r>
              <w:rPr>
                <w:rFonts w:hint="eastAsia" w:ascii="宋体" w:hAnsi="宋体"/>
                <w:szCs w:val="21"/>
              </w:rPr>
              <w:t>显卡</w:t>
            </w:r>
          </w:p>
        </w:tc>
        <w:tc>
          <w:tcPr>
            <w:tcW w:w="3856" w:type="dxa"/>
            <w:shd w:val="clear" w:color="auto" w:fill="auto"/>
          </w:tcPr>
          <w:p>
            <w:pPr>
              <w:jc w:val="left"/>
              <w:textAlignment w:val="center"/>
              <w:rPr>
                <w:rFonts w:ascii="宋体" w:hAnsi="宋体"/>
                <w:szCs w:val="21"/>
              </w:rPr>
            </w:pPr>
            <w:r>
              <w:rPr>
                <w:rFonts w:hint="eastAsia" w:ascii="宋体" w:hAnsi="宋体"/>
                <w:szCs w:val="21"/>
              </w:rPr>
              <w:t>集成显示控制器，≥32MB显存</w:t>
            </w:r>
          </w:p>
        </w:tc>
        <w:tc>
          <w:tcPr>
            <w:tcW w:w="3544" w:type="dxa"/>
            <w:shd w:val="clear" w:color="auto" w:fill="auto"/>
          </w:tcPr>
          <w:p>
            <w:pPr>
              <w:rPr>
                <w:rFonts w:ascii="宋体" w:hAnsi="宋体"/>
                <w:szCs w:val="21"/>
              </w:rPr>
            </w:pPr>
          </w:p>
        </w:tc>
        <w:tc>
          <w:tcPr>
            <w:tcW w:w="1843" w:type="dxa"/>
            <w:vAlign w:val="center"/>
          </w:tcPr>
          <w:p>
            <w:r>
              <w:rPr>
                <w:rFonts w:hint="eastAsia"/>
              </w:rPr>
              <w:t xml:space="preserve">□完全响应  </w:t>
            </w:r>
          </w:p>
          <w:p>
            <w:pPr>
              <w:rPr>
                <w:rFonts w:ascii="宋体" w:hAnsi="宋体"/>
                <w:szCs w:val="21"/>
              </w:rPr>
            </w:pPr>
            <w:r>
              <w:rPr>
                <w:rFonts w:hint="eastAsia"/>
              </w:rPr>
              <w:t>□部分响应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242" w:type="dxa"/>
            <w:shd w:val="clear" w:color="auto" w:fill="auto"/>
          </w:tcPr>
          <w:p>
            <w:pPr>
              <w:jc w:val="left"/>
              <w:textAlignment w:val="center"/>
              <w:rPr>
                <w:rFonts w:ascii="宋体" w:hAnsi="宋体"/>
                <w:szCs w:val="21"/>
              </w:rPr>
            </w:pPr>
            <w:r>
              <w:rPr>
                <w:rFonts w:hint="eastAsia" w:ascii="宋体" w:hAnsi="宋体"/>
                <w:szCs w:val="21"/>
              </w:rPr>
              <w:t>环境温度要求</w:t>
            </w:r>
          </w:p>
        </w:tc>
        <w:tc>
          <w:tcPr>
            <w:tcW w:w="3856" w:type="dxa"/>
            <w:shd w:val="clear" w:color="auto" w:fill="auto"/>
          </w:tcPr>
          <w:p>
            <w:pPr>
              <w:jc w:val="left"/>
              <w:textAlignment w:val="center"/>
              <w:rPr>
                <w:rFonts w:ascii="宋体" w:hAnsi="宋体"/>
                <w:szCs w:val="21"/>
              </w:rPr>
            </w:pPr>
            <w:r>
              <w:rPr>
                <w:rFonts w:hint="eastAsia" w:ascii="宋体" w:hAnsi="宋体"/>
                <w:szCs w:val="21"/>
              </w:rPr>
              <w:t>工作时5℃～40℃</w:t>
            </w:r>
          </w:p>
          <w:p>
            <w:pPr>
              <w:jc w:val="left"/>
              <w:textAlignment w:val="center"/>
              <w:rPr>
                <w:rFonts w:ascii="宋体" w:hAnsi="宋体"/>
                <w:szCs w:val="21"/>
              </w:rPr>
            </w:pPr>
            <w:r>
              <w:rPr>
                <w:rFonts w:hint="eastAsia" w:ascii="宋体" w:hAnsi="宋体"/>
                <w:szCs w:val="21"/>
              </w:rPr>
              <w:t>运输存储-40℃～60℃</w:t>
            </w:r>
          </w:p>
        </w:tc>
        <w:tc>
          <w:tcPr>
            <w:tcW w:w="3544" w:type="dxa"/>
            <w:shd w:val="clear" w:color="auto" w:fill="auto"/>
          </w:tcPr>
          <w:p>
            <w:pPr>
              <w:rPr>
                <w:rFonts w:ascii="宋体" w:hAnsi="宋体"/>
                <w:szCs w:val="21"/>
              </w:rPr>
            </w:pPr>
          </w:p>
        </w:tc>
        <w:tc>
          <w:tcPr>
            <w:tcW w:w="1843" w:type="dxa"/>
            <w:vAlign w:val="center"/>
          </w:tcPr>
          <w:p>
            <w:r>
              <w:rPr>
                <w:rFonts w:hint="eastAsia"/>
              </w:rPr>
              <w:t xml:space="preserve">□完全响应  </w:t>
            </w:r>
          </w:p>
          <w:p>
            <w:pPr>
              <w:rPr>
                <w:rFonts w:ascii="宋体" w:hAnsi="宋体"/>
                <w:szCs w:val="21"/>
              </w:rPr>
            </w:pPr>
            <w:r>
              <w:rPr>
                <w:rFonts w:hint="eastAsia"/>
              </w:rPr>
              <w:t>□部分响应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242" w:type="dxa"/>
            <w:shd w:val="clear" w:color="auto" w:fill="auto"/>
          </w:tcPr>
          <w:p>
            <w:pPr>
              <w:jc w:val="left"/>
              <w:textAlignment w:val="center"/>
              <w:rPr>
                <w:rFonts w:ascii="宋体" w:hAnsi="宋体"/>
                <w:szCs w:val="21"/>
              </w:rPr>
            </w:pPr>
            <w:r>
              <w:rPr>
                <w:rFonts w:hint="eastAsia" w:ascii="宋体" w:hAnsi="宋体"/>
                <w:szCs w:val="21"/>
              </w:rPr>
              <w:t>相对湿度要求</w:t>
            </w:r>
          </w:p>
        </w:tc>
        <w:tc>
          <w:tcPr>
            <w:tcW w:w="3856" w:type="dxa"/>
            <w:shd w:val="clear" w:color="auto" w:fill="auto"/>
          </w:tcPr>
          <w:p>
            <w:pPr>
              <w:jc w:val="left"/>
              <w:textAlignment w:val="center"/>
              <w:rPr>
                <w:rFonts w:ascii="宋体" w:hAnsi="宋体"/>
                <w:szCs w:val="21"/>
              </w:rPr>
            </w:pPr>
            <w:r>
              <w:rPr>
                <w:rFonts w:hint="eastAsia" w:ascii="宋体" w:hAnsi="宋体"/>
                <w:szCs w:val="21"/>
              </w:rPr>
              <w:t>工作时35％～80％ RH</w:t>
            </w:r>
          </w:p>
          <w:p>
            <w:pPr>
              <w:jc w:val="left"/>
              <w:textAlignment w:val="center"/>
              <w:rPr>
                <w:rFonts w:ascii="宋体" w:hAnsi="宋体"/>
                <w:szCs w:val="21"/>
              </w:rPr>
            </w:pPr>
            <w:r>
              <w:rPr>
                <w:rFonts w:hint="eastAsia" w:ascii="宋体" w:hAnsi="宋体"/>
                <w:szCs w:val="21"/>
              </w:rPr>
              <w:t>运输存储20％～93％ RH</w:t>
            </w:r>
          </w:p>
        </w:tc>
        <w:tc>
          <w:tcPr>
            <w:tcW w:w="3544" w:type="dxa"/>
            <w:shd w:val="clear" w:color="auto" w:fill="auto"/>
          </w:tcPr>
          <w:p>
            <w:pPr>
              <w:rPr>
                <w:rFonts w:ascii="宋体" w:hAnsi="宋体"/>
                <w:szCs w:val="21"/>
              </w:rPr>
            </w:pPr>
          </w:p>
        </w:tc>
        <w:tc>
          <w:tcPr>
            <w:tcW w:w="1843" w:type="dxa"/>
            <w:vAlign w:val="center"/>
          </w:tcPr>
          <w:p>
            <w:r>
              <w:rPr>
                <w:rFonts w:hint="eastAsia"/>
              </w:rPr>
              <w:t xml:space="preserve">□完全响应  </w:t>
            </w:r>
          </w:p>
          <w:p>
            <w:pPr>
              <w:rPr>
                <w:rFonts w:ascii="宋体" w:hAnsi="宋体"/>
                <w:szCs w:val="21"/>
              </w:rPr>
            </w:pPr>
            <w:r>
              <w:rPr>
                <w:rFonts w:hint="eastAsia"/>
              </w:rPr>
              <w:t>□部分响应</w:t>
            </w:r>
          </w:p>
        </w:tc>
      </w:tr>
    </w:tbl>
    <w:p>
      <w:pPr>
        <w:rPr>
          <w:rFonts w:ascii="宋体" w:hAnsi="宋体" w:cs="宋体"/>
          <w:bCs/>
          <w:sz w:val="24"/>
        </w:rPr>
      </w:pPr>
    </w:p>
    <w:p>
      <w:pPr>
        <w:rPr>
          <w:rFonts w:ascii="宋体" w:hAnsi="宋体" w:cs="宋体"/>
          <w:bCs/>
          <w:sz w:val="24"/>
        </w:rPr>
      </w:pPr>
    </w:p>
    <w:p>
      <w:r>
        <w:rPr>
          <w:rFonts w:hint="eastAsia" w:ascii="宋体" w:hAnsi="宋体" w:cs="宋体"/>
          <w:bCs/>
          <w:sz w:val="24"/>
        </w:rPr>
        <w:t>二、综合安防管理平台，平台提供基础功能模块、视频监控模块、视频联网模块和告警联动模块等，提供至少</w:t>
      </w:r>
      <w:r>
        <w:rPr>
          <w:rFonts w:hint="eastAsia" w:ascii="宋体" w:hAnsi="宋体" w:cs="宋体"/>
          <w:sz w:val="24"/>
        </w:rPr>
        <w:t>1000</w:t>
      </w:r>
      <w:r>
        <w:rPr>
          <w:rFonts w:hint="eastAsia" w:ascii="宋体" w:hAnsi="宋体" w:cs="宋体"/>
          <w:sz w:val="24"/>
          <w:lang w:val="zh-CN"/>
        </w:rPr>
        <w:t>个监控管理</w:t>
      </w:r>
      <w:r>
        <w:rPr>
          <w:rFonts w:hint="eastAsia" w:ascii="宋体" w:hAnsi="宋体" w:cs="宋体"/>
          <w:sz w:val="24"/>
        </w:rPr>
        <w:t>和50个门禁管理</w:t>
      </w:r>
      <w:r>
        <w:rPr>
          <w:rFonts w:hint="eastAsia" w:ascii="宋体" w:hAnsi="宋体" w:cs="宋体"/>
          <w:bCs/>
          <w:sz w:val="24"/>
        </w:rPr>
        <w:t>授权接入</w:t>
      </w:r>
      <w:r>
        <w:rPr>
          <w:rFonts w:hint="eastAsia" w:ascii="宋体" w:hAnsi="宋体" w:cs="宋体"/>
          <w:bCs/>
          <w:sz w:val="24"/>
          <w:lang w:eastAsia="zh-CN"/>
        </w:rPr>
        <w:t>，</w:t>
      </w:r>
      <w:r>
        <w:rPr>
          <w:rFonts w:hint="eastAsia" w:ascii="宋体" w:hAnsi="宋体" w:cs="宋体"/>
          <w:sz w:val="24"/>
          <w:lang w:val="en-US" w:eastAsia="zh-CN"/>
        </w:rPr>
        <w:t>兼容海康威视摄像头的所有功能</w:t>
      </w:r>
      <w:r>
        <w:rPr>
          <w:rFonts w:hint="eastAsia" w:ascii="宋体" w:hAnsi="宋体" w:cs="宋体"/>
          <w:sz w:val="24"/>
          <w:lang w:val="zh-CN"/>
        </w:rPr>
        <w:t>。</w:t>
      </w:r>
    </w:p>
    <w:tbl>
      <w:tblPr>
        <w:tblStyle w:val="31"/>
        <w:tblW w:w="11052" w:type="dxa"/>
        <w:jc w:val="center"/>
        <w:tblLayout w:type="fixed"/>
        <w:tblCellMar>
          <w:top w:w="0" w:type="dxa"/>
          <w:left w:w="108" w:type="dxa"/>
          <w:bottom w:w="0" w:type="dxa"/>
          <w:right w:w="108" w:type="dxa"/>
        </w:tblCellMar>
      </w:tblPr>
      <w:tblGrid>
        <w:gridCol w:w="641"/>
        <w:gridCol w:w="5609"/>
        <w:gridCol w:w="525"/>
        <w:gridCol w:w="1017"/>
        <w:gridCol w:w="1559"/>
        <w:gridCol w:w="1701"/>
      </w:tblGrid>
      <w:tr>
        <w:tblPrEx>
          <w:tblCellMar>
            <w:top w:w="0" w:type="dxa"/>
            <w:left w:w="108" w:type="dxa"/>
            <w:bottom w:w="0" w:type="dxa"/>
            <w:right w:w="108" w:type="dxa"/>
          </w:tblCellMar>
        </w:tblPrEx>
        <w:trPr>
          <w:trHeight w:val="783"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项目</w:t>
            </w:r>
          </w:p>
        </w:tc>
        <w:tc>
          <w:tcPr>
            <w:tcW w:w="5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最低参数要求</w:t>
            </w:r>
          </w:p>
        </w:tc>
        <w:tc>
          <w:tcPr>
            <w:tcW w:w="525"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单位</w:t>
            </w:r>
          </w:p>
        </w:tc>
        <w:tc>
          <w:tcPr>
            <w:tcW w:w="1017"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数量</w:t>
            </w:r>
          </w:p>
        </w:tc>
        <w:tc>
          <w:tcPr>
            <w:tcW w:w="1559"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提供的平台参数（如有型号请注明）</w:t>
            </w:r>
          </w:p>
        </w:tc>
        <w:tc>
          <w:tcPr>
            <w:tcW w:w="1701" w:type="dxa"/>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Cs w:val="21"/>
                <w:lang w:bidi="ar"/>
              </w:rPr>
            </w:pPr>
            <w:r>
              <w:rPr>
                <w:rFonts w:hint="eastAsia"/>
              </w:rPr>
              <w:t>响应情况</w:t>
            </w:r>
          </w:p>
        </w:tc>
      </w:tr>
      <w:tr>
        <w:tblPrEx>
          <w:tblCellMar>
            <w:top w:w="0" w:type="dxa"/>
            <w:left w:w="108" w:type="dxa"/>
            <w:bottom w:w="0" w:type="dxa"/>
            <w:right w:w="108" w:type="dxa"/>
          </w:tblCellMar>
        </w:tblPrEx>
        <w:trPr>
          <w:trHeight w:val="412"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基础模块</w:t>
            </w:r>
          </w:p>
        </w:tc>
        <w:tc>
          <w:tcPr>
            <w:tcW w:w="5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pPr>
            <w:r>
              <w:rPr>
                <w:rFonts w:hint="eastAsia"/>
              </w:rPr>
              <w:t>系统基础包，提供业务应用依赖的基础资源信息及基础服务能力，包括系统基础信息管理、地图应用服务、事件联动应用服务。</w:t>
            </w:r>
            <w:r>
              <w:rPr>
                <w:rFonts w:hint="eastAsia"/>
              </w:rPr>
              <w:br w:type="textWrapping"/>
            </w:r>
            <w:r>
              <w:rPr>
                <w:rFonts w:hint="eastAsia"/>
                <w:lang w:bidi="ar"/>
              </w:rPr>
              <w:t>系统基础信息管理：</w:t>
            </w:r>
            <w:r>
              <w:rPr>
                <w:rFonts w:hint="eastAsia"/>
              </w:rPr>
              <w:br w:type="textWrapping"/>
            </w:r>
            <w:r>
              <w:rPr>
                <w:rFonts w:hint="eastAsia"/>
              </w:rPr>
              <w:t>系统基础信息管理提供了系统业务应用依赖的基础资源，包括安保用户管理、安保基础数据管理、安保区域管理、安保系统配置、物联设备管理，统一管理了组织、区域、人员、卡片、车辆和物联设备等资源，并提供人车、人卡的关联关系配置能力。</w:t>
            </w:r>
            <w:r>
              <w:rPr>
                <w:rFonts w:hint="eastAsia"/>
              </w:rPr>
              <w:br w:type="textWrapping"/>
            </w:r>
            <w:r>
              <w:rPr>
                <w:rFonts w:hint="eastAsia"/>
              </w:rPr>
              <w:t>一、组织资源管理</w:t>
            </w:r>
            <w:r>
              <w:rPr>
                <w:rFonts w:hint="eastAsia"/>
              </w:rPr>
              <w:br w:type="textWrapping"/>
            </w:r>
            <w:r>
              <w:rPr>
                <w:rFonts w:hint="eastAsia"/>
              </w:rPr>
              <w:t>1、支持组织基础信息的增删改查、导入、导出等功能；</w:t>
            </w:r>
            <w:r>
              <w:rPr>
                <w:rFonts w:hint="eastAsia"/>
              </w:rPr>
              <w:br w:type="textWrapping"/>
            </w:r>
            <w:r>
              <w:rPr>
                <w:rFonts w:hint="eastAsia"/>
              </w:rPr>
              <w:t>二、区域资源管理</w:t>
            </w:r>
            <w:r>
              <w:rPr>
                <w:rFonts w:hint="eastAsia"/>
              </w:rPr>
              <w:br w:type="textWrapping"/>
            </w:r>
            <w:r>
              <w:rPr>
                <w:rFonts w:hint="eastAsia"/>
              </w:rPr>
              <w:t>1、支持区域基础信息的增删改查、导入、导出等功能；</w:t>
            </w:r>
            <w:r>
              <w:rPr>
                <w:rFonts w:hint="eastAsia"/>
              </w:rPr>
              <w:br w:type="textWrapping"/>
            </w:r>
            <w:r>
              <w:rPr>
                <w:rFonts w:hint="eastAsia"/>
              </w:rPr>
              <w:t>三、人员信息管理</w:t>
            </w:r>
            <w:r>
              <w:rPr>
                <w:rFonts w:hint="eastAsia"/>
              </w:rPr>
              <w:br w:type="textWrapping"/>
            </w:r>
            <w:r>
              <w:rPr>
                <w:rFonts w:hint="eastAsia"/>
              </w:rPr>
              <w:t>1、支持人员信息的增删改查、导入、导出，包括人脸、指纹采集；</w:t>
            </w:r>
            <w:r>
              <w:rPr>
                <w:rFonts w:hint="eastAsia"/>
              </w:rPr>
              <w:br w:type="textWrapping"/>
            </w:r>
            <w:r>
              <w:rPr>
                <w:rFonts w:hint="eastAsia"/>
              </w:rPr>
              <w:t>2、支持人员基础信息自定义扩展；</w:t>
            </w:r>
            <w:r>
              <w:rPr>
                <w:rFonts w:hint="eastAsia"/>
              </w:rPr>
              <w:br w:type="textWrapping"/>
            </w:r>
            <w:r>
              <w:rPr>
                <w:rFonts w:hint="eastAsia"/>
              </w:rPr>
              <w:t>四、卡片信息管理</w:t>
            </w:r>
            <w:r>
              <w:rPr>
                <w:rFonts w:hint="eastAsia"/>
              </w:rPr>
              <w:br w:type="textWrapping"/>
            </w:r>
            <w:r>
              <w:rPr>
                <w:rFonts w:hint="eastAsia"/>
              </w:rPr>
              <w:t>1、支持卡片基本信息的增删改查、导入、导出；</w:t>
            </w:r>
            <w:r>
              <w:rPr>
                <w:rFonts w:hint="eastAsia"/>
              </w:rPr>
              <w:br w:type="textWrapping"/>
            </w:r>
            <w:r>
              <w:rPr>
                <w:rFonts w:hint="eastAsia"/>
              </w:rPr>
              <w:t>2、支持人员开卡、退卡、挂失、解挂、换卡及卡扇区加密；</w:t>
            </w:r>
            <w:r>
              <w:rPr>
                <w:rFonts w:hint="eastAsia"/>
              </w:rPr>
              <w:br w:type="textWrapping"/>
            </w:r>
            <w:r>
              <w:rPr>
                <w:rFonts w:hint="eastAsia"/>
              </w:rPr>
              <w:t>五、车辆信息管理</w:t>
            </w:r>
            <w:r>
              <w:rPr>
                <w:rFonts w:hint="eastAsia"/>
              </w:rPr>
              <w:br w:type="textWrapping"/>
            </w:r>
            <w:r>
              <w:rPr>
                <w:rFonts w:hint="eastAsia"/>
              </w:rPr>
              <w:t>1、支持车辆基本信息的增删改查、导入、导出；</w:t>
            </w:r>
            <w:r>
              <w:rPr>
                <w:rFonts w:hint="eastAsia"/>
              </w:rPr>
              <w:br w:type="textWrapping"/>
            </w:r>
            <w:r>
              <w:rPr>
                <w:rFonts w:hint="eastAsia"/>
              </w:rPr>
              <w:t>六、设备信息管理</w:t>
            </w:r>
            <w:r>
              <w:rPr>
                <w:rFonts w:hint="eastAsia"/>
              </w:rPr>
              <w:br w:type="textWrapping"/>
            </w:r>
            <w:r>
              <w:rPr>
                <w:rFonts w:hint="eastAsia"/>
              </w:rPr>
              <w:t>1、提供设备统一接入管理，包括：视频设备、出入口设备、门禁设备、梯控设备、可视对讲设备、食堂消费设备、寻车诱导设备、卡口设备、车载设备、报警设备等。</w:t>
            </w:r>
            <w:r>
              <w:rPr>
                <w:rFonts w:hint="eastAsia"/>
              </w:rPr>
              <w:br w:type="textWrapping"/>
            </w:r>
            <w:r>
              <w:rPr>
                <w:rFonts w:hint="eastAsia"/>
              </w:rPr>
              <w:t>七、系统用户管理</w:t>
            </w:r>
            <w:r>
              <w:rPr>
                <w:rFonts w:hint="eastAsia"/>
              </w:rPr>
              <w:br w:type="textWrapping"/>
            </w:r>
            <w:r>
              <w:rPr>
                <w:rFonts w:hint="eastAsia"/>
              </w:rPr>
              <w:t>1、支持账户基本信息和角色信息的增删改查；</w:t>
            </w:r>
            <w:r>
              <w:rPr>
                <w:rFonts w:hint="eastAsia"/>
              </w:rPr>
              <w:br w:type="textWrapping"/>
            </w:r>
            <w:r>
              <w:rPr>
                <w:rFonts w:hint="eastAsia"/>
              </w:rPr>
              <w:t>2、支持配置不同角色权限，包括菜单权限、组织权限、区域权限、资源权限、功能控制权限；</w:t>
            </w:r>
            <w:r>
              <w:rPr>
                <w:rFonts w:hint="eastAsia"/>
              </w:rPr>
              <w:br w:type="textWrapping"/>
            </w:r>
            <w:r>
              <w:rPr>
                <w:rFonts w:hint="eastAsia"/>
              </w:rPr>
              <w:t>3、支持用户组权限分配；</w:t>
            </w:r>
            <w:r>
              <w:rPr>
                <w:rFonts w:hint="eastAsia"/>
              </w:rPr>
              <w:br w:type="textWrapping"/>
            </w:r>
            <w:r>
              <w:rPr>
                <w:rFonts w:hint="eastAsia"/>
              </w:rPr>
              <w:t>4、支持用户安全管理，可绑定用户mac地址及IP，可自行修改用户密码或者管理员重置密码；</w:t>
            </w:r>
            <w:r>
              <w:rPr>
                <w:rFonts w:hint="eastAsia"/>
              </w:rPr>
              <w:br w:type="textWrapping"/>
            </w:r>
            <w:r>
              <w:rPr>
                <w:rFonts w:hint="eastAsia"/>
              </w:rPr>
              <w:t>5、支持从Windows域同步用户信息，用于域账户进行平台登录；</w:t>
            </w:r>
          </w:p>
          <w:p>
            <w:pPr>
              <w:widowControl/>
              <w:textAlignment w:val="center"/>
            </w:pPr>
            <w:r>
              <w:rPr>
                <w:rFonts w:hint="eastAsia"/>
              </w:rPr>
              <w:t>6、</w:t>
            </w:r>
            <w:r>
              <w:t>要求支持导航视图管理，对系统内各节点进行查看、增加、删除、修改，展示、查找；支持对系统内所有服务器进行监控，包括名称、IP地址、状态、未处理告警数、CPU使用率、内存使用率、磁盘容量、主机代理等；支持对系统内所有组件信息进行监控，组件信息包含：组件名称、未处理告警数、所属服务器、最近操作时间、授权状态等</w:t>
            </w:r>
            <w:r>
              <w:rPr>
                <w:rFonts w:hint="eastAsia"/>
                <w:b/>
                <w:bCs/>
              </w:rPr>
              <w:t>（提供公安部检测机构出具的检测报告复印件证明，加盖所投品牌厂商公章）</w:t>
            </w:r>
            <w:r>
              <w:rPr>
                <w:rFonts w:hint="eastAsia"/>
              </w:rPr>
              <w:br w:type="textWrapping"/>
            </w:r>
            <w:r>
              <w:rPr>
                <w:rFonts w:hint="eastAsia"/>
              </w:rPr>
              <w:t>八、核心参数配置</w:t>
            </w:r>
            <w:r>
              <w:rPr>
                <w:rFonts w:hint="eastAsia"/>
              </w:rPr>
              <w:br w:type="textWrapping"/>
            </w:r>
            <w:r>
              <w:rPr>
                <w:rFonts w:hint="eastAsia"/>
              </w:rPr>
              <w:t>1、支持首页菜单自定义展示设置；</w:t>
            </w:r>
            <w:r>
              <w:rPr>
                <w:rFonts w:hint="eastAsia"/>
              </w:rPr>
              <w:br w:type="textWrapping"/>
            </w:r>
            <w:r>
              <w:rPr>
                <w:rFonts w:hint="eastAsia"/>
              </w:rPr>
              <w:t>2、支持所有设备统一校时；</w:t>
            </w:r>
            <w:r>
              <w:rPr>
                <w:rFonts w:hint="eastAsia"/>
              </w:rPr>
              <w:br w:type="textWrapping"/>
            </w:r>
            <w:r>
              <w:rPr>
                <w:rFonts w:hint="eastAsia"/>
              </w:rPr>
              <w:t>3、提供账户安全设置，支持账户密码有效期设置。</w:t>
            </w:r>
            <w:r>
              <w:rPr>
                <w:rFonts w:hint="eastAsia"/>
              </w:rPr>
              <w:br w:type="textWrapping"/>
            </w:r>
            <w:r>
              <w:rPr>
                <w:rFonts w:hint="eastAsia"/>
                <w:lang w:bidi="ar"/>
              </w:rPr>
              <w:t>图上监控：</w:t>
            </w:r>
            <w:r>
              <w:rPr>
                <w:rFonts w:hint="eastAsia"/>
              </w:rPr>
              <w:br w:type="textWrapping"/>
            </w:r>
            <w:r>
              <w:rPr>
                <w:rFonts w:hint="eastAsia"/>
              </w:rPr>
              <w:t>图上监控应用以地图可视化模式为各类设备资源提供可视化展示及控制操作，在地图上可展示各类资源点的地理位置，通过接收资源点报警事件，实现报警信息可视化展示。</w:t>
            </w:r>
            <w:r>
              <w:rPr>
                <w:rFonts w:hint="eastAsia"/>
              </w:rPr>
              <w:br w:type="textWrapping"/>
            </w:r>
            <w:r>
              <w:rPr>
                <w:rFonts w:hint="eastAsia"/>
              </w:rPr>
              <w:t>1、支持地图配置能力，包含在线（高德）、离线GIS地图（高德、自定义）</w:t>
            </w:r>
            <w:r>
              <w:rPr>
                <w:rFonts w:hint="eastAsia"/>
              </w:rPr>
              <w:br w:type="textWrapping"/>
            </w:r>
            <w:r>
              <w:rPr>
                <w:rFonts w:hint="eastAsia"/>
              </w:rPr>
              <w:t>2、支持资源上图配置能力，实现资源的地图可视化展示及控制操作，资源类型包含监控点、报警输出、报警输入、门禁点、出入口、停车场、传感器、手持视频终端、园区卡口资源、防区、报警输入、报警输出、报警主机IO输出、消防设备；</w:t>
            </w:r>
            <w:r>
              <w:rPr>
                <w:rFonts w:hint="eastAsia"/>
              </w:rPr>
              <w:br w:type="textWrapping"/>
            </w:r>
            <w:r>
              <w:rPr>
                <w:rFonts w:hint="eastAsia"/>
              </w:rPr>
              <w:t>3、支持事件可视化监控能力，实时展示报警事件，支持历史报警事件查询；</w:t>
            </w:r>
            <w:r>
              <w:rPr>
                <w:rFonts w:hint="eastAsia"/>
              </w:rPr>
              <w:br w:type="textWrapping"/>
            </w:r>
            <w:r>
              <w:rPr>
                <w:rFonts w:hint="eastAsia"/>
              </w:rPr>
              <w:t>4、支持针对移动GPS设备的轨迹回放能力，如单兵设备；</w:t>
            </w:r>
            <w:r>
              <w:rPr>
                <w:rFonts w:hint="eastAsia"/>
              </w:rPr>
              <w:br w:type="textWrapping"/>
            </w:r>
            <w:r>
              <w:rPr>
                <w:rFonts w:hint="eastAsia"/>
                <w:lang w:bidi="ar"/>
              </w:rPr>
              <w:t>事件联动：</w:t>
            </w:r>
            <w:r>
              <w:rPr>
                <w:rFonts w:hint="eastAsia"/>
              </w:rPr>
              <w:br w:type="textWrapping"/>
            </w:r>
            <w:r>
              <w:rPr>
                <w:rFonts w:hint="eastAsia"/>
              </w:rPr>
              <w:t>事件联动提供系统报警事件接收、事件处理、事件联动、事件检索能力，提供场景化的事件联动应用（在“特定条件”下执行“特定动作”），报警事件产生时，可以通过多种方式、多种联动场景提醒安保人员，保障报警事件通知的及时性，包括多种联动方式：视频弹窗、视频上墙、录像联动、云台联动、短信联动、邮箱联动、IO联动、抓图联动、门禁反控联动等。</w:t>
            </w:r>
            <w:r>
              <w:rPr>
                <w:rFonts w:hint="eastAsia"/>
              </w:rPr>
              <w:br w:type="textWrapping"/>
            </w:r>
            <w:r>
              <w:rPr>
                <w:rFonts w:hint="eastAsia"/>
              </w:rPr>
              <w:t>一、事件联动管理</w:t>
            </w:r>
            <w:r>
              <w:rPr>
                <w:rFonts w:hint="eastAsia"/>
              </w:rPr>
              <w:br w:type="textWrapping"/>
            </w:r>
            <w:r>
              <w:rPr>
                <w:rFonts w:hint="eastAsia"/>
              </w:rPr>
              <w:t>1、支持事件联动规则配置管理，包括规则增删改查；</w:t>
            </w:r>
            <w:r>
              <w:rPr>
                <w:rFonts w:hint="eastAsia"/>
              </w:rPr>
              <w:br w:type="textWrapping"/>
            </w:r>
            <w:r>
              <w:rPr>
                <w:rFonts w:hint="eastAsia"/>
              </w:rPr>
              <w:t>2、支持事件规则计划模板，包括全天候模式、工作日模式、周末模式及自定义模式；</w:t>
            </w:r>
            <w:r>
              <w:rPr>
                <w:rFonts w:hint="eastAsia"/>
              </w:rPr>
              <w:br w:type="textWrapping"/>
            </w:r>
            <w:r>
              <w:rPr>
                <w:rFonts w:hint="eastAsia"/>
              </w:rPr>
              <w:t>3、支持多种报警事件配置联动，包括：14种触发事件类型（包含：视频事件、入侵报警事件、IO事件、门禁事件、停车场事件、可视对讲事件、行车监控事件、梯控事件、动环事件、紧急报警事件、人脸识别事件、卡口事件、消防事件、测温事件）和21种事件联动动作配置；</w:t>
            </w:r>
            <w:r>
              <w:rPr>
                <w:rFonts w:hint="eastAsia"/>
              </w:rPr>
              <w:br w:type="textWrapping"/>
            </w:r>
            <w:r>
              <w:rPr>
                <w:rFonts w:hint="eastAsia"/>
              </w:rPr>
              <w:t>4、提供7种高级联动规则模版配置，支持配置满足在指定时间段存在多个触发事件类型而联动多个并发动作的场景。</w:t>
            </w:r>
            <w:r>
              <w:rPr>
                <w:rFonts w:hint="eastAsia"/>
              </w:rPr>
              <w:br w:type="textWrapping"/>
            </w:r>
            <w:r>
              <w:rPr>
                <w:rFonts w:hint="eastAsia"/>
              </w:rPr>
              <w:t>二、事件检索管理</w:t>
            </w:r>
            <w:r>
              <w:rPr>
                <w:rFonts w:hint="eastAsia"/>
              </w:rPr>
              <w:br w:type="textWrapping"/>
            </w:r>
            <w:r>
              <w:rPr>
                <w:rFonts w:hint="eastAsia"/>
              </w:rPr>
              <w:t>1、支持报警事件自定义时间存储，最长支持36个月存储；</w:t>
            </w:r>
            <w:r>
              <w:rPr>
                <w:rFonts w:hint="eastAsia"/>
              </w:rPr>
              <w:br w:type="textWrapping"/>
            </w:r>
            <w:r>
              <w:rPr>
                <w:rFonts w:hint="eastAsia"/>
              </w:rPr>
              <w:t>2、支持多种维度检索报警事件，包括：区域、位置、事件源、事件等级、时间、状态等维度；</w:t>
            </w:r>
            <w:r>
              <w:rPr>
                <w:rFonts w:hint="eastAsia"/>
              </w:rPr>
              <w:br w:type="textWrapping"/>
            </w:r>
            <w:r>
              <w:rPr>
                <w:rFonts w:hint="eastAsia"/>
              </w:rPr>
              <w:t>3、支持事件详情查看，包括抓图、录像等；</w:t>
            </w:r>
            <w:r>
              <w:rPr>
                <w:rFonts w:hint="eastAsia"/>
              </w:rPr>
              <w:br w:type="textWrapping"/>
            </w:r>
            <w:r>
              <w:rPr>
                <w:rFonts w:hint="eastAsia"/>
              </w:rPr>
              <w:t>4、支持对报警事件进行标记、处理以及导出。</w:t>
            </w:r>
          </w:p>
          <w:p>
            <w:pPr>
              <w:widowControl/>
              <w:textAlignment w:val="center"/>
            </w:pPr>
            <w:r>
              <w:rPr>
                <w:rFonts w:hint="eastAsia"/>
              </w:rPr>
              <w:t>配置要求：</w:t>
            </w:r>
          </w:p>
          <w:p>
            <w:pPr>
              <w:widowControl/>
              <w:textAlignment w:val="center"/>
            </w:pPr>
            <w:r>
              <w:t>1、支持管理最大组织数2000个，组织层级最大10级；</w:t>
            </w:r>
          </w:p>
          <w:p>
            <w:pPr>
              <w:widowControl/>
              <w:textAlignment w:val="center"/>
            </w:pPr>
            <w:r>
              <w:t>2、支持管理最大区域数2000个，区域层级最大10级。；</w:t>
            </w:r>
          </w:p>
          <w:p>
            <w:pPr>
              <w:widowControl/>
              <w:textAlignment w:val="center"/>
            </w:pPr>
            <w:r>
              <w:t>3、支持管理最大人员数量5万；</w:t>
            </w:r>
          </w:p>
          <w:p>
            <w:pPr>
              <w:widowControl/>
              <w:textAlignment w:val="center"/>
            </w:pPr>
            <w:r>
              <w:t>4、支持管理最大卡片数量5万；</w:t>
            </w:r>
          </w:p>
          <w:p>
            <w:pPr>
              <w:widowControl/>
              <w:textAlignment w:val="center"/>
            </w:pPr>
            <w:r>
              <w:t>5、支持管理最大车辆数量3万；</w:t>
            </w:r>
          </w:p>
          <w:p>
            <w:pPr>
              <w:widowControl/>
              <w:textAlignment w:val="center"/>
            </w:pPr>
            <w:r>
              <w:t>6、支持最大的在线用户数1000个，并发登录用户数50个。</w:t>
            </w:r>
          </w:p>
          <w:p>
            <w:pPr>
              <w:widowControl/>
              <w:textAlignment w:val="center"/>
            </w:pPr>
            <w:r>
              <w:t>7、支持最大事件并发处理500条/秒（不带图片）；</w:t>
            </w:r>
          </w:p>
          <w:p>
            <w:pPr>
              <w:widowControl/>
              <w:textAlignment w:val="center"/>
            </w:pPr>
            <w:r>
              <w:t>8、支持联动上墙并发1次/秒；</w:t>
            </w:r>
          </w:p>
          <w:p>
            <w:pPr>
              <w:widowControl/>
              <w:textAlignment w:val="center"/>
            </w:pPr>
            <w:r>
              <w:t>9、支持最大每秒联动100个不同的视频点位进行抓图；</w:t>
            </w:r>
          </w:p>
          <w:p>
            <w:pPr>
              <w:widowControl/>
              <w:textAlignment w:val="center"/>
            </w:pPr>
            <w:r>
              <w:t>10、支持最大每秒联动100个不同的视频点位进行录像；</w:t>
            </w:r>
          </w:p>
          <w:p>
            <w:pPr>
              <w:widowControl/>
              <w:textAlignment w:val="center"/>
            </w:pPr>
            <w:r>
              <w:t>11、支持联动并发发邮件2封/秒；</w:t>
            </w:r>
          </w:p>
          <w:p>
            <w:pPr>
              <w:widowControl/>
              <w:textAlignment w:val="center"/>
            </w:pPr>
            <w:r>
              <w:t>12、支持短信联动（云信留客短信网关：1-2秒/条；</w:t>
            </w:r>
          </w:p>
          <w:p>
            <w:pPr>
              <w:widowControl/>
              <w:textAlignment w:val="center"/>
            </w:pPr>
            <w:r>
              <w:t>短信猫：70字符以下，10秒/条；</w:t>
            </w:r>
          </w:p>
          <w:p>
            <w:pPr>
              <w:widowControl/>
              <w:textAlignment w:val="center"/>
            </w:pPr>
            <w:r>
              <w:t>70字符以上分条发送，20秒/条；）</w:t>
            </w:r>
          </w:p>
          <w:p>
            <w:pPr>
              <w:widowControl/>
              <w:textAlignment w:val="center"/>
            </w:pPr>
            <w:r>
              <w:t>13、支持最大事件存储7200万条；</w:t>
            </w:r>
          </w:p>
          <w:p>
            <w:pPr>
              <w:widowControl/>
              <w:textAlignment w:val="center"/>
            </w:pPr>
            <w:r>
              <w:t>14、支持管理资源上图数量2万个。</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套</w:t>
            </w:r>
          </w:p>
        </w:tc>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Cs w:val="21"/>
                <w:lang w:bidi="ar"/>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r>
              <w:rPr>
                <w:rFonts w:hint="eastAsia"/>
              </w:rPr>
              <w:t xml:space="preserve">□完全响应  </w:t>
            </w:r>
          </w:p>
          <w:p>
            <w:pPr>
              <w:widowControl/>
              <w:textAlignment w:val="center"/>
              <w:rPr>
                <w:rFonts w:ascii="宋体" w:hAnsi="宋体" w:cs="宋体"/>
                <w:color w:val="000000"/>
                <w:kern w:val="0"/>
                <w:szCs w:val="21"/>
                <w:lang w:bidi="ar"/>
              </w:rPr>
            </w:pPr>
            <w:r>
              <w:rPr>
                <w:rFonts w:hint="eastAsia"/>
              </w:rPr>
              <w:t>□部分响应</w:t>
            </w:r>
          </w:p>
        </w:tc>
      </w:tr>
      <w:tr>
        <w:tblPrEx>
          <w:tblCellMar>
            <w:top w:w="0" w:type="dxa"/>
            <w:left w:w="108" w:type="dxa"/>
            <w:bottom w:w="0" w:type="dxa"/>
            <w:right w:w="108" w:type="dxa"/>
          </w:tblCellMar>
        </w:tblPrEx>
        <w:trPr>
          <w:trHeight w:val="1408"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视频监控授权</w:t>
            </w:r>
          </w:p>
        </w:tc>
        <w:tc>
          <w:tcPr>
            <w:tcW w:w="5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pPr>
            <w:r>
              <w:rPr>
                <w:rFonts w:hint="eastAsia"/>
              </w:rPr>
              <w:t>视频监控应用提供视频管理服务，支持编码设备通过海康设备网络SDK协议、海康Ehome协议、海康ISUP5.0协议、GB28181协议、ONVIF协议、大华设备网络SDK协议、萤石协议接入平台，实现视频预览、录像回放、视频上墙、视频事件监控服务能力，并且在网络带宽不足、有流量限制的网络环境下可以通过以图片替代视频的模式提供监控服务。</w:t>
            </w:r>
            <w:r>
              <w:br w:type="textWrapping"/>
            </w:r>
            <w:r>
              <w:rPr>
                <w:rFonts w:hint="eastAsia"/>
              </w:rPr>
              <w:t>一、视频预览</w:t>
            </w:r>
            <w:r>
              <w:br w:type="textWrapping"/>
            </w:r>
            <w:r>
              <w:rPr>
                <w:rFonts w:hint="eastAsia"/>
              </w:rPr>
              <w:t>1、支持视频实时预览能力，实现预览窗口布局切换、预览画面自适应及全屏切换；</w:t>
            </w:r>
            <w:r>
              <w:br w:type="textWrapping"/>
            </w:r>
            <w:r>
              <w:rPr>
                <w:rFonts w:hint="eastAsia"/>
              </w:rPr>
              <w:t>2、支持云台控制、实时抓图、紧急录像、即时回放、主子码流切换、声音开启\关闭、辅屏预览（1个辅屏）、对讲、广播、报警输出控制的能力；</w:t>
            </w:r>
            <w:r>
              <w:br w:type="textWrapping"/>
            </w:r>
            <w:r>
              <w:rPr>
                <w:rFonts w:hint="eastAsia"/>
              </w:rPr>
              <w:t>3、支持智能规则展示的能力（如：针对热成像设备温度信息实时展示）；</w:t>
            </w:r>
            <w:r>
              <w:br w:type="textWrapping"/>
            </w:r>
            <w:r>
              <w:rPr>
                <w:rFonts w:hint="eastAsia"/>
              </w:rPr>
              <w:t>4、支持资源视图管理能力，以视图形式管理监控点、视频预览轮巡等自定义资源组，其中视图类型包含公有视图和私有视图；</w:t>
            </w:r>
            <w:r>
              <w:br w:type="textWrapping"/>
            </w:r>
            <w:r>
              <w:rPr>
                <w:rFonts w:hint="eastAsia"/>
              </w:rPr>
              <w:t>5、支持全景视频监控预览能力，支持球型鹰眼、全景摄像机的全景模式；</w:t>
            </w:r>
          </w:p>
          <w:p>
            <w:pPr>
              <w:widowControl/>
              <w:textAlignment w:val="center"/>
            </w:pPr>
            <w:r>
              <w:rPr>
                <w:rFonts w:hint="eastAsia"/>
              </w:rPr>
              <w:t>6、要求支持全景摄像机，实现360度的全景监控，可以对全景区域内的多个目标进行穿越警戒面、区域入侵、进入区域、离开区域行为的检测</w:t>
            </w:r>
            <w:r>
              <w:rPr>
                <w:rFonts w:hint="eastAsia"/>
                <w:b/>
                <w:bCs/>
              </w:rPr>
              <w:t>（提供公安部检测机构出具的检测报告复印件证明，加盖所投品牌厂商公章）</w:t>
            </w:r>
            <w:r>
              <w:br w:type="textWrapping"/>
            </w:r>
            <w:r>
              <w:rPr>
                <w:rFonts w:hint="eastAsia"/>
              </w:rPr>
              <w:t>二、录像回放</w:t>
            </w:r>
            <w:r>
              <w:br w:type="textWrapping"/>
            </w:r>
            <w:r>
              <w:rPr>
                <w:rFonts w:hint="eastAsia"/>
              </w:rPr>
              <w:t>1、支持录像计划管理能力，支持实时录像计划、录像回传计划；</w:t>
            </w:r>
            <w:r>
              <w:br w:type="textWrapping"/>
            </w:r>
            <w:r>
              <w:rPr>
                <w:rFonts w:hint="eastAsia"/>
              </w:rPr>
              <w:t>2、支持录像回放能力，支持多画面同步回放和异步回放切换、超高倍速回放、分段回放、录像下载、录像剪辑、录像标签、录像锁定、录像抓图；</w:t>
            </w:r>
          </w:p>
          <w:p>
            <w:pPr>
              <w:widowControl/>
              <w:textAlignment w:val="center"/>
            </w:pPr>
            <w:r>
              <w:rPr>
                <w:rFonts w:hint="eastAsia" w:ascii="宋体" w:hAnsi="宋体"/>
              </w:rPr>
              <w:t>3、支持录像回传至中心存储，可以支持计划回传和手动回传两种模式。</w:t>
            </w:r>
            <w:r>
              <w:br w:type="textWrapping"/>
            </w:r>
            <w:r>
              <w:rPr>
                <w:rFonts w:hint="eastAsia"/>
              </w:rPr>
              <w:t>三、图片监控</w:t>
            </w:r>
            <w:r>
              <w:br w:type="textWrapping"/>
            </w:r>
            <w:r>
              <w:rPr>
                <w:rFonts w:hint="eastAsia"/>
              </w:rPr>
              <w:t>1、支持视频预览与图片实时监控模式切换能力，实现图片监控模式；</w:t>
            </w:r>
            <w:r>
              <w:br w:type="textWrapping"/>
            </w:r>
            <w:r>
              <w:rPr>
                <w:rFonts w:hint="eastAsia"/>
              </w:rPr>
              <w:t>2、支持图片查询回放能力，实现按监控点、时间段展示抓拍图片；</w:t>
            </w:r>
            <w:r>
              <w:br w:type="textWrapping"/>
            </w:r>
            <w:r>
              <w:rPr>
                <w:rFonts w:hint="eastAsia"/>
              </w:rPr>
              <w:t>3、支持图片自动播放能力，支持图片自动播放速度可设置；</w:t>
            </w:r>
            <w:r>
              <w:br w:type="textWrapping"/>
            </w:r>
            <w:r>
              <w:rPr>
                <w:rFonts w:hint="eastAsia"/>
              </w:rPr>
              <w:t>4、支持图片下载能力；</w:t>
            </w:r>
            <w:r>
              <w:br w:type="textWrapping"/>
            </w:r>
            <w:r>
              <w:rPr>
                <w:rFonts w:hint="eastAsia"/>
              </w:rPr>
              <w:t>四、视频上墙</w:t>
            </w:r>
            <w:r>
              <w:br w:type="textWrapping"/>
            </w:r>
            <w:r>
              <w:rPr>
                <w:rFonts w:hint="eastAsia"/>
              </w:rPr>
              <w:t>1、支持电视墙场景管理能力，实现场景窗口配置、场景切换计划配置以及轮巡计划的管理；</w:t>
            </w:r>
            <w:r>
              <w:br w:type="textWrapping"/>
            </w:r>
            <w:r>
              <w:rPr>
                <w:rFonts w:hint="eastAsia"/>
              </w:rPr>
              <w:t>2、支持上墙控制能力，实现场景一键上墙、场景切换、电视墙切换、监控点上下墙、轮巡控制操作；</w:t>
            </w:r>
            <w:r>
              <w:br w:type="textWrapping"/>
            </w:r>
            <w:r>
              <w:rPr>
                <w:rFonts w:hint="eastAsia"/>
              </w:rPr>
              <w:t>五、视频事件</w:t>
            </w:r>
            <w:r>
              <w:br w:type="textWrapping"/>
            </w:r>
            <w:r>
              <w:rPr>
                <w:rFonts w:hint="eastAsia"/>
              </w:rPr>
              <w:t>1、支持视频事件布撤防能力，可按计划模版进行布防，事件类型包括移动侦测、视频丢失、视频遮挡、报警输入、报警输出；</w:t>
            </w:r>
          </w:p>
          <w:p>
            <w:pPr>
              <w:pStyle w:val="2"/>
              <w:numPr>
                <w:ilvl w:val="0"/>
                <w:numId w:val="2"/>
              </w:numPr>
            </w:pPr>
            <w:r>
              <w:rPr>
                <w:rFonts w:hint="eastAsia"/>
              </w:rPr>
              <w:t>配置要求</w:t>
            </w:r>
          </w:p>
          <w:p>
            <w:pPr>
              <w:pStyle w:val="3"/>
              <w:ind w:left="0"/>
            </w:pPr>
            <w:r>
              <w:rPr>
                <w:rFonts w:hint="eastAsia"/>
              </w:rPr>
              <w:t>1、平台支持监控点数量管理10W个（超过5000需要分布式部署）；</w:t>
            </w:r>
          </w:p>
          <w:p>
            <w:pPr>
              <w:pStyle w:val="3"/>
              <w:ind w:left="0"/>
            </w:pPr>
            <w:r>
              <w:rPr>
                <w:rFonts w:hint="eastAsia"/>
              </w:rPr>
              <w:t>2、支持并发取流带宽2000M，例如以2M/路计算最大并发路数为1000路</w:t>
            </w:r>
            <w:r>
              <w:t xml:space="preserve"> </w:t>
            </w:r>
            <w:r>
              <w:rPr>
                <w:rFonts w:hint="eastAsia"/>
              </w:rPr>
              <w:t>（以千兆服务器为例，每台服务器并发取流带宽为600M，超过600M需要分布式部署）；</w:t>
            </w:r>
          </w:p>
          <w:p>
            <w:pPr>
              <w:pStyle w:val="3"/>
              <w:ind w:left="0"/>
            </w:pPr>
            <w:r>
              <w:rPr>
                <w:rFonts w:hint="eastAsia"/>
              </w:rPr>
              <w:t>3、解码能力：在i7、GTX1070的PC上，解码H264、720P的视频36路；</w:t>
            </w:r>
          </w:p>
          <w:p>
            <w:pPr>
              <w:pStyle w:val="3"/>
              <w:ind w:left="0"/>
            </w:pPr>
            <w:r>
              <w:rPr>
                <w:rFonts w:hint="eastAsia"/>
              </w:rPr>
              <w:t>4、支持电视墙最大场景数128个；</w:t>
            </w:r>
          </w:p>
          <w:p>
            <w:pPr>
              <w:pStyle w:val="3"/>
              <w:ind w:left="0"/>
            </w:pPr>
            <w:r>
              <w:rPr>
                <w:rFonts w:hint="eastAsia"/>
              </w:rPr>
              <w:t>5、单个电视墙最大支持数量25*25个；</w:t>
            </w:r>
          </w:p>
          <w:p>
            <w:pPr>
              <w:pStyle w:val="3"/>
              <w:ind w:left="0"/>
            </w:pPr>
            <w:r>
              <w:rPr>
                <w:rFonts w:hint="eastAsia"/>
              </w:rPr>
              <w:t>6、单个窗口最大分割数量16个；</w:t>
            </w:r>
          </w:p>
          <w:p>
            <w:r>
              <w:rPr>
                <w:rFonts w:hint="eastAsia"/>
              </w:rPr>
              <w:t>7、附带至少50个门禁管理授权。</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路</w:t>
            </w:r>
          </w:p>
        </w:tc>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1000</w:t>
            </w: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Cs w:val="21"/>
                <w:lang w:bidi="ar"/>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r>
              <w:rPr>
                <w:rFonts w:hint="eastAsia"/>
              </w:rPr>
              <w:t xml:space="preserve">□完全响应  </w:t>
            </w:r>
          </w:p>
          <w:p>
            <w:pPr>
              <w:widowControl/>
              <w:textAlignment w:val="center"/>
              <w:rPr>
                <w:rFonts w:ascii="宋体" w:hAnsi="宋体" w:cs="宋体"/>
                <w:color w:val="000000"/>
                <w:kern w:val="0"/>
                <w:szCs w:val="21"/>
                <w:lang w:bidi="ar"/>
              </w:rPr>
            </w:pPr>
            <w:r>
              <w:rPr>
                <w:rFonts w:hint="eastAsia"/>
              </w:rPr>
              <w:t>□部分响应</w:t>
            </w:r>
          </w:p>
        </w:tc>
      </w:tr>
      <w:tr>
        <w:tblPrEx>
          <w:tblCellMar>
            <w:top w:w="0" w:type="dxa"/>
            <w:left w:w="108" w:type="dxa"/>
            <w:bottom w:w="0" w:type="dxa"/>
            <w:right w:w="108" w:type="dxa"/>
          </w:tblCellMar>
        </w:tblPrEx>
        <w:trPr>
          <w:trHeight w:val="2260"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视频联网模块</w:t>
            </w:r>
          </w:p>
        </w:tc>
        <w:tc>
          <w:tcPr>
            <w:tcW w:w="5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宋体" w:hAnsi="宋体" w:cs="宋体"/>
                <w:color w:val="000000"/>
                <w:kern w:val="0"/>
                <w:szCs w:val="21"/>
                <w:lang w:bidi="ar"/>
              </w:rPr>
            </w:pPr>
            <w:r>
              <w:rPr>
                <w:rFonts w:hint="eastAsia" w:ascii="宋体" w:hAnsi="宋体" w:cs="宋体"/>
                <w:color w:val="000000"/>
                <w:kern w:val="0"/>
                <w:szCs w:val="21"/>
                <w:lang w:bidi="ar"/>
              </w:rPr>
              <w:t>视频级联应用主要为视频监控业务提供级联服务，专注于平台域间视频联网，基于视频通用标准协议（GB/T28181-2011,GB/T28181-2016）与外域平台互联互通，实现上级平台对下级平台视频资源点位的操作控制。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1、支持上下级域注册管理能力，实现平台数据级联；</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2、支持资源同步能力；</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3、支持级联视频点位实时预览、录像回放、录像下载、语音对讲能力；</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4、支持级联视频点位设备操作控制能力；</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5、支持下级平台推送到本级平台视频点位路数控制能力，通过级联点位授权路数控制；</w:t>
            </w:r>
          </w:p>
          <w:p>
            <w:pPr>
              <w:widowControl/>
              <w:textAlignment w:val="center"/>
              <w:rPr>
                <w:rFonts w:ascii="宋体" w:hAnsi="宋体" w:cs="宋体"/>
                <w:color w:val="000000"/>
                <w:kern w:val="0"/>
                <w:szCs w:val="21"/>
                <w:lang w:bidi="ar"/>
              </w:rPr>
            </w:pPr>
            <w:r>
              <w:rPr>
                <w:rFonts w:hint="eastAsia" w:ascii="宋体" w:hAnsi="宋体" w:cs="宋体"/>
                <w:color w:val="000000"/>
                <w:kern w:val="0"/>
                <w:szCs w:val="21"/>
                <w:lang w:bidi="ar"/>
              </w:rPr>
              <w:t>6、单个NCG信令节点：最大支持5个上级域平台、15个下级域平台；</w:t>
            </w:r>
          </w:p>
          <w:p>
            <w:pPr>
              <w:widowControl/>
              <w:textAlignment w:val="center"/>
              <w:rPr>
                <w:rFonts w:ascii="宋体" w:hAnsi="宋体" w:cs="宋体"/>
                <w:color w:val="000000"/>
                <w:szCs w:val="21"/>
              </w:rPr>
            </w:pPr>
            <w:r>
              <w:rPr>
                <w:rFonts w:ascii="宋体" w:hAnsi="宋体" w:cs="宋体"/>
                <w:color w:val="000000"/>
                <w:kern w:val="0"/>
                <w:szCs w:val="21"/>
                <w:lang w:bidi="ar"/>
              </w:rPr>
              <w:t>7</w:t>
            </w:r>
            <w:r>
              <w:rPr>
                <w:rFonts w:hint="eastAsia" w:ascii="宋体" w:hAnsi="宋体" w:cs="宋体"/>
                <w:color w:val="000000"/>
                <w:kern w:val="0"/>
                <w:szCs w:val="21"/>
                <w:lang w:bidi="ar"/>
              </w:rPr>
              <w:t>、</w:t>
            </w:r>
            <w:r>
              <w:rPr>
                <w:rFonts w:hint="eastAsia"/>
              </w:rPr>
              <w:t>要求支持以中心管理服务为核心的网络拓扑结构，支持对系统中的分组、服务器、组件等统计概览、查看</w:t>
            </w:r>
            <w:r>
              <w:rPr>
                <w:rFonts w:hint="eastAsia"/>
                <w:b/>
                <w:bCs/>
              </w:rPr>
              <w:t>（提供公安部检测机构出具的检测报告复印件证明，加盖所投品牌厂商公章）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其中第3、4点需要基于视频监控应用特性提供业务应用。</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套</w:t>
            </w:r>
          </w:p>
        </w:tc>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Cs w:val="21"/>
                <w:lang w:bidi="ar"/>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r>
              <w:rPr>
                <w:rFonts w:hint="eastAsia"/>
              </w:rPr>
              <w:t xml:space="preserve">□完全响应  </w:t>
            </w:r>
          </w:p>
          <w:p>
            <w:pPr>
              <w:widowControl/>
              <w:textAlignment w:val="center"/>
              <w:rPr>
                <w:rFonts w:ascii="宋体" w:hAnsi="宋体" w:cs="宋体"/>
                <w:color w:val="000000"/>
                <w:kern w:val="0"/>
                <w:szCs w:val="21"/>
                <w:lang w:bidi="ar"/>
              </w:rPr>
            </w:pPr>
            <w:r>
              <w:rPr>
                <w:rFonts w:hint="eastAsia"/>
              </w:rPr>
              <w:t>□部分响应</w:t>
            </w:r>
          </w:p>
        </w:tc>
      </w:tr>
      <w:tr>
        <w:tblPrEx>
          <w:tblCellMar>
            <w:top w:w="0" w:type="dxa"/>
            <w:left w:w="108" w:type="dxa"/>
            <w:bottom w:w="0" w:type="dxa"/>
            <w:right w:w="108" w:type="dxa"/>
          </w:tblCellMar>
        </w:tblPrEx>
        <w:trPr>
          <w:trHeight w:val="1672"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事件处置模块</w:t>
            </w:r>
          </w:p>
        </w:tc>
        <w:tc>
          <w:tcPr>
            <w:tcW w:w="5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pPr>
            <w:r>
              <w:rPr>
                <w:rFonts w:hint="eastAsia"/>
              </w:rPr>
              <w:t>事件处置应用提供事件联动的报警事件处置能力，通过移动端及客户端应用的方式，实现报警事件真实性的确认，能人工指派相关处理人进行处置并保存事件处置记录，帮助用户实现报警处置业务闭环 ，提升用户针对报警事件处置的及时性和工作效率。</w:t>
            </w:r>
            <w:r>
              <w:rPr>
                <w:rFonts w:hint="eastAsia"/>
              </w:rPr>
              <w:br w:type="textWrapping"/>
            </w:r>
            <w:r>
              <w:rPr>
                <w:rFonts w:hint="eastAsia"/>
              </w:rPr>
              <w:t>1、支持事件处理意见的自定义；</w:t>
            </w:r>
            <w:r>
              <w:rPr>
                <w:rFonts w:hint="eastAsia"/>
              </w:rPr>
              <w:br w:type="textWrapping"/>
            </w:r>
            <w:r>
              <w:rPr>
                <w:rFonts w:hint="eastAsia"/>
              </w:rPr>
              <w:t>2、支持确认事件处理意见，明确事件是否误报；</w:t>
            </w:r>
            <w:r>
              <w:rPr>
                <w:rFonts w:hint="eastAsia"/>
              </w:rPr>
              <w:br w:type="textWrapping"/>
            </w:r>
            <w:r>
              <w:rPr>
                <w:rFonts w:hint="eastAsia"/>
              </w:rPr>
              <w:t>3、支持线上处置记录自动存储，保留操作痕迹；</w:t>
            </w:r>
            <w:r>
              <w:rPr>
                <w:rFonts w:hint="eastAsia"/>
              </w:rPr>
              <w:br w:type="textWrapping"/>
            </w:r>
            <w:r>
              <w:rPr>
                <w:rFonts w:hint="eastAsia"/>
              </w:rPr>
              <w:t>4、支持线下处置记录人工存储，可上传事件现场相关处置图片、视频素材；</w:t>
            </w:r>
            <w:r>
              <w:rPr>
                <w:rFonts w:hint="eastAsia"/>
              </w:rPr>
              <w:br w:type="textWrapping"/>
            </w:r>
            <w:r>
              <w:rPr>
                <w:rFonts w:hint="eastAsia"/>
              </w:rPr>
              <w:t>5、支持人工指派处理人，可多次选择不同人员进行事件处理；</w:t>
            </w:r>
          </w:p>
          <w:p>
            <w:pPr>
              <w:pStyle w:val="2"/>
            </w:pPr>
            <w:r>
              <w:rPr>
                <w:rFonts w:hint="eastAsia"/>
              </w:rPr>
              <w:t>6</w:t>
            </w:r>
            <w:r>
              <w:t>、支持内置处理意见数量4条</w:t>
            </w:r>
          </w:p>
          <w:p>
            <w:pPr>
              <w:widowControl/>
              <w:textAlignment w:val="center"/>
            </w:pPr>
            <w:r>
              <w:rPr>
                <w:rFonts w:hint="eastAsia"/>
              </w:rPr>
              <w:t>7</w:t>
            </w:r>
            <w:r>
              <w:t>、每个处理意见支持16个快捷短语设置</w:t>
            </w:r>
          </w:p>
          <w:p>
            <w:pPr>
              <w:widowControl/>
              <w:textAlignment w:val="center"/>
            </w:pPr>
            <w:r>
              <w:rPr>
                <w:rFonts w:hint="eastAsia"/>
              </w:rPr>
              <w:t>8、要求支持根据用户使用习惯自定义配置快捷功能入口，支持首页投放大屏展示，支持最近7天每日的用户活跃数统计。</w:t>
            </w:r>
          </w:p>
          <w:p>
            <w:pPr>
              <w:widowControl/>
              <w:textAlignment w:val="center"/>
            </w:pPr>
            <w:r>
              <w:t>9</w:t>
            </w:r>
            <w:r>
              <w:rPr>
                <w:rFonts w:hint="eastAsia"/>
              </w:rPr>
              <w:t>、支持多色彩（红、橙、黄）展示运行告警状态，支持告警统计、概览、处理，支持告警记录查看、查询，支持告警单条、批量处理；支持系统最近7天每日告警数统计，支持评分量化系统监控指数，显示系统运行状态。</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套</w:t>
            </w:r>
          </w:p>
        </w:tc>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kern w:val="0"/>
                <w:szCs w:val="21"/>
                <w:lang w:bidi="ar"/>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r>
              <w:rPr>
                <w:rFonts w:hint="eastAsia"/>
              </w:rPr>
              <w:t xml:space="preserve">□完全响应  </w:t>
            </w:r>
          </w:p>
          <w:p>
            <w:pPr>
              <w:widowControl/>
              <w:textAlignment w:val="center"/>
              <w:rPr>
                <w:rFonts w:ascii="宋体" w:hAnsi="宋体" w:cs="宋体"/>
                <w:color w:val="000000"/>
                <w:kern w:val="0"/>
                <w:szCs w:val="21"/>
                <w:lang w:bidi="ar"/>
              </w:rPr>
            </w:pPr>
            <w:r>
              <w:rPr>
                <w:rFonts w:hint="eastAsia"/>
              </w:rPr>
              <w:t>□部分响应</w:t>
            </w:r>
          </w:p>
        </w:tc>
      </w:tr>
    </w:tbl>
    <w:p>
      <w:pPr>
        <w:tabs>
          <w:tab w:val="left" w:pos="525"/>
          <w:tab w:val="left" w:pos="846"/>
        </w:tabs>
        <w:autoSpaceDE w:val="0"/>
        <w:autoSpaceDN w:val="0"/>
        <w:adjustRightInd w:val="0"/>
        <w:spacing w:before="120" w:beforeLines="50" w:line="560" w:lineRule="exact"/>
        <w:ind w:left="482"/>
        <w:outlineLvl w:val="1"/>
        <w:rPr>
          <w:rFonts w:ascii="宋体" w:hAnsi="宋体" w:cs="宋体"/>
          <w:b/>
          <w:bCs/>
          <w:sz w:val="24"/>
        </w:rPr>
      </w:pPr>
      <w:r>
        <w:rPr>
          <w:rFonts w:hint="eastAsia" w:ascii="宋体" w:hAnsi="宋体" w:cs="宋体"/>
          <w:bCs/>
          <w:sz w:val="24"/>
        </w:rPr>
        <w:t>三、</w:t>
      </w:r>
      <w:r>
        <w:rPr>
          <w:rFonts w:hint="eastAsia" w:ascii="宋体" w:hAnsi="宋体" w:cs="宋体"/>
          <w:b/>
          <w:bCs/>
          <w:sz w:val="24"/>
        </w:rPr>
        <w:t xml:space="preserve"> 货物交付安装、验收、质保期、质保金及售后服务承诺</w:t>
      </w:r>
    </w:p>
    <w:p>
      <w:pPr>
        <w:spacing w:line="560" w:lineRule="exact"/>
        <w:ind w:firstLine="480" w:firstLineChars="200"/>
        <w:rPr>
          <w:rFonts w:ascii="宋体" w:hAnsi="宋体" w:cs="宋体"/>
          <w:bCs/>
          <w:sz w:val="24"/>
        </w:rPr>
      </w:pPr>
      <w:r>
        <w:rPr>
          <w:rFonts w:hint="eastAsia" w:ascii="宋体" w:hAnsi="宋体" w:cs="宋体"/>
          <w:bCs/>
          <w:sz w:val="24"/>
        </w:rPr>
        <w:t>1、交付安装时间和地点：自合同签订之日起30日内，中选人将货物送达采购人指定地点并完成安装及平台部署。所需的包装、运输、装卸、保管、保险、各种税费等费用全部由中选人承担。</w:t>
      </w:r>
    </w:p>
    <w:p>
      <w:pPr>
        <w:spacing w:line="560" w:lineRule="exact"/>
        <w:ind w:firstLine="480" w:firstLineChars="200"/>
        <w:rPr>
          <w:rFonts w:ascii="宋体" w:hAnsi="宋体" w:cs="宋体"/>
          <w:bCs/>
          <w:sz w:val="24"/>
        </w:rPr>
      </w:pPr>
      <w:r>
        <w:rPr>
          <w:rFonts w:hint="eastAsia" w:ascii="宋体" w:hAnsi="宋体" w:cs="宋体"/>
          <w:bCs/>
          <w:sz w:val="24"/>
        </w:rPr>
        <w:t>2、货物验收：中选人供货和安装完成后的30日内，由采购人组织验收。验收过程中，采购人发现质量问题的，在10日内向中选人提出，中选人应自采购人提出问题之日起5日内回复、退换和整改并承担由此产生的费用，退换和整改完毕之日起7日内安排采购人验收。如未按时回复、退换和完成整改，采购人有权拒收，并按中选人逾期交付处理，中选人须承担违约责任。</w:t>
      </w:r>
    </w:p>
    <w:p>
      <w:pPr>
        <w:spacing w:line="560" w:lineRule="exact"/>
        <w:ind w:firstLine="480" w:firstLineChars="200"/>
        <w:rPr>
          <w:rFonts w:ascii="宋体" w:hAnsi="宋体" w:cs="宋体"/>
          <w:bCs/>
          <w:sz w:val="24"/>
        </w:rPr>
      </w:pPr>
      <w:r>
        <w:rPr>
          <w:rFonts w:hint="eastAsia" w:ascii="宋体" w:hAnsi="宋体" w:cs="宋体"/>
          <w:bCs/>
          <w:sz w:val="24"/>
        </w:rPr>
        <w:t>3、质保期：自货物验收合格之日起质保3年。</w:t>
      </w:r>
    </w:p>
    <w:p>
      <w:pPr>
        <w:spacing w:line="560" w:lineRule="exact"/>
        <w:ind w:firstLine="480" w:firstLineChars="200"/>
        <w:rPr>
          <w:rFonts w:ascii="宋体" w:hAnsi="宋体" w:cs="宋体"/>
          <w:bCs/>
          <w:sz w:val="24"/>
        </w:rPr>
      </w:pPr>
      <w:r>
        <w:rPr>
          <w:rFonts w:hint="eastAsia" w:ascii="宋体" w:hAnsi="宋体" w:cs="宋体"/>
          <w:bCs/>
          <w:sz w:val="24"/>
        </w:rPr>
        <w:t>4、质保金：中选人在签订合同时需预留合同款项的5%作为质保金，质保金在质保期满后支付。</w:t>
      </w:r>
    </w:p>
    <w:p>
      <w:pPr>
        <w:spacing w:line="560" w:lineRule="exact"/>
        <w:ind w:firstLine="480" w:firstLineChars="200"/>
        <w:rPr>
          <w:rFonts w:ascii="宋体" w:hAnsi="宋体" w:cs="宋体"/>
          <w:bCs/>
          <w:sz w:val="24"/>
        </w:rPr>
      </w:pPr>
      <w:r>
        <w:rPr>
          <w:rFonts w:hint="eastAsia" w:ascii="宋体" w:hAnsi="宋体" w:cs="宋体"/>
          <w:bCs/>
          <w:sz w:val="24"/>
        </w:rPr>
        <w:t>5、售后服务：质保期内若出现质量问题，中选人在接到采购人通知后24小时内派出专业维修人员到现场进行更换，所涉拆卸费、包装费、运输费、人工费、交通费、食宿费等费用由中选人负责。质保期内货物的一切质量问题造成的直接经济损失应全部由中选人自行负责。</w:t>
      </w:r>
    </w:p>
    <w:p>
      <w:pPr>
        <w:pStyle w:val="2"/>
      </w:pPr>
    </w:p>
    <w:p>
      <w:pPr>
        <w:adjustRightInd w:val="0"/>
        <w:snapToGrid w:val="0"/>
        <w:spacing w:line="560" w:lineRule="exact"/>
        <w:jc w:val="left"/>
        <w:rPr>
          <w:rFonts w:ascii="宋体" w:hAnsi="宋体" w:cs="宋体"/>
          <w:bCs/>
          <w:sz w:val="24"/>
        </w:rPr>
      </w:pPr>
      <w:r>
        <w:rPr>
          <w:rFonts w:hint="eastAsia" w:ascii="宋体" w:hAnsi="宋体" w:cs="宋体"/>
          <w:bCs/>
          <w:sz w:val="24"/>
        </w:rPr>
        <w:t>参评</w:t>
      </w:r>
      <w:r>
        <w:rPr>
          <w:rFonts w:hint="eastAsia" w:ascii="宋体" w:hAnsi="宋体" w:cs="宋体"/>
          <w:bCs/>
          <w:sz w:val="24"/>
          <w:lang w:val="en-US" w:eastAsia="zh-CN"/>
        </w:rPr>
        <w:t>供应</w:t>
      </w:r>
      <w:r>
        <w:rPr>
          <w:rFonts w:hint="eastAsia" w:ascii="宋体" w:hAnsi="宋体" w:cs="宋体"/>
          <w:bCs/>
          <w:sz w:val="24"/>
        </w:rPr>
        <w:t xml:space="preserve">商（盖章）：    </w:t>
      </w:r>
    </w:p>
    <w:p>
      <w:pPr>
        <w:adjustRightInd w:val="0"/>
        <w:snapToGrid w:val="0"/>
        <w:spacing w:line="560" w:lineRule="exact"/>
        <w:jc w:val="left"/>
      </w:pPr>
      <w:r>
        <w:rPr>
          <w:rFonts w:hint="eastAsia" w:ascii="宋体" w:hAnsi="宋体" w:cs="宋体"/>
          <w:bCs/>
          <w:sz w:val="24"/>
        </w:rPr>
        <w:t>日期：</w:t>
      </w:r>
    </w:p>
    <w:p/>
    <w:sectPr>
      <w:pgSz w:w="16840" w:h="11907" w:orient="landscape"/>
      <w:pgMar w:top="567" w:right="567" w:bottom="567" w:left="567" w:header="624"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9"/>
                          </w:pPr>
                          <w:r>
                            <w:t xml:space="preserve">第 </w:t>
                          </w:r>
                          <w:r>
                            <w:fldChar w:fldCharType="begin"/>
                          </w:r>
                          <w:r>
                            <w:instrText xml:space="preserve"> PAGE  \* MERGEFORMAT </w:instrText>
                          </w:r>
                          <w:r>
                            <w:fldChar w:fldCharType="separate"/>
                          </w:r>
                          <w:r>
                            <w:t>14</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X2Fl4NABAACiAwAADgAAAAAAAAABACAAAAAeAQAAZHJz&#10;L2Uyb0RvYy54bWxQSwUGAAAAAAYABgBZAQAAYAUAAAAA&#10;">
              <v:fill on="f" focussize="0,0"/>
              <v:stroke on="f"/>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14</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9"/>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57C562EA"/>
    <w:multiLevelType w:val="singleLevel"/>
    <w:tmpl w:val="57C562EA"/>
    <w:lvl w:ilvl="0" w:tentative="0">
      <w:start w:val="6"/>
      <w:numFmt w:val="chineseCounting"/>
      <w:suff w:val="nothing"/>
      <w:lvlText w:val="%1、"/>
      <w:lvlJc w:val="left"/>
      <w:rPr>
        <w:rFonts w:hint="eastAsia"/>
      </w:rPr>
    </w:lvl>
  </w:abstractNum>
  <w:abstractNum w:abstractNumId="2">
    <w:nsid w:val="779C6DD0"/>
    <w:multiLevelType w:val="multilevel"/>
    <w:tmpl w:val="779C6DD0"/>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yNTBjY2NjMDcyMjcwZTFjNWJmNmZkNGE1YzIwYTYifQ=="/>
  </w:docVars>
  <w:rsids>
    <w:rsidRoot w:val="00172A27"/>
    <w:rsid w:val="00003BC6"/>
    <w:rsid w:val="00010C6C"/>
    <w:rsid w:val="000143EA"/>
    <w:rsid w:val="00017F4D"/>
    <w:rsid w:val="0002112F"/>
    <w:rsid w:val="00036566"/>
    <w:rsid w:val="00051267"/>
    <w:rsid w:val="00061340"/>
    <w:rsid w:val="000619FB"/>
    <w:rsid w:val="000645CB"/>
    <w:rsid w:val="0006488D"/>
    <w:rsid w:val="0006706E"/>
    <w:rsid w:val="00070194"/>
    <w:rsid w:val="00071640"/>
    <w:rsid w:val="000729CB"/>
    <w:rsid w:val="00073370"/>
    <w:rsid w:val="00087CA5"/>
    <w:rsid w:val="0009720A"/>
    <w:rsid w:val="0009779E"/>
    <w:rsid w:val="000B1CD6"/>
    <w:rsid w:val="000B7319"/>
    <w:rsid w:val="000D2BDE"/>
    <w:rsid w:val="000D55EE"/>
    <w:rsid w:val="000E6DAC"/>
    <w:rsid w:val="000F089F"/>
    <w:rsid w:val="000F74BB"/>
    <w:rsid w:val="000F7A8C"/>
    <w:rsid w:val="00100638"/>
    <w:rsid w:val="00102659"/>
    <w:rsid w:val="00106C9B"/>
    <w:rsid w:val="001106BF"/>
    <w:rsid w:val="001179CF"/>
    <w:rsid w:val="001206C7"/>
    <w:rsid w:val="001226CA"/>
    <w:rsid w:val="00124146"/>
    <w:rsid w:val="0013464C"/>
    <w:rsid w:val="001358E8"/>
    <w:rsid w:val="00147EFD"/>
    <w:rsid w:val="00151C1F"/>
    <w:rsid w:val="00154ACE"/>
    <w:rsid w:val="0015627C"/>
    <w:rsid w:val="001706DD"/>
    <w:rsid w:val="00172A27"/>
    <w:rsid w:val="001845FB"/>
    <w:rsid w:val="001858D8"/>
    <w:rsid w:val="001877AF"/>
    <w:rsid w:val="00190633"/>
    <w:rsid w:val="00196A9C"/>
    <w:rsid w:val="001A1BEE"/>
    <w:rsid w:val="001A7E4B"/>
    <w:rsid w:val="001B11F5"/>
    <w:rsid w:val="001B7E20"/>
    <w:rsid w:val="001C0603"/>
    <w:rsid w:val="001E1A3D"/>
    <w:rsid w:val="001E7591"/>
    <w:rsid w:val="001F2302"/>
    <w:rsid w:val="001F38BF"/>
    <w:rsid w:val="001F48CC"/>
    <w:rsid w:val="001F4EC6"/>
    <w:rsid w:val="001F7EB1"/>
    <w:rsid w:val="002043C6"/>
    <w:rsid w:val="00216B34"/>
    <w:rsid w:val="00220B6C"/>
    <w:rsid w:val="00222C06"/>
    <w:rsid w:val="00224255"/>
    <w:rsid w:val="0022736D"/>
    <w:rsid w:val="002460DE"/>
    <w:rsid w:val="002472FC"/>
    <w:rsid w:val="002558D7"/>
    <w:rsid w:val="002561D2"/>
    <w:rsid w:val="0025701D"/>
    <w:rsid w:val="00260A61"/>
    <w:rsid w:val="0027217F"/>
    <w:rsid w:val="00275047"/>
    <w:rsid w:val="0027798F"/>
    <w:rsid w:val="0028775E"/>
    <w:rsid w:val="00293C6C"/>
    <w:rsid w:val="002A1396"/>
    <w:rsid w:val="002C593C"/>
    <w:rsid w:val="002E0497"/>
    <w:rsid w:val="002E58D8"/>
    <w:rsid w:val="002F17AD"/>
    <w:rsid w:val="00306A82"/>
    <w:rsid w:val="00306FED"/>
    <w:rsid w:val="00307115"/>
    <w:rsid w:val="00307418"/>
    <w:rsid w:val="00314C54"/>
    <w:rsid w:val="003155A7"/>
    <w:rsid w:val="003168D7"/>
    <w:rsid w:val="00317A41"/>
    <w:rsid w:val="00335848"/>
    <w:rsid w:val="00337DF5"/>
    <w:rsid w:val="00337E90"/>
    <w:rsid w:val="00341B03"/>
    <w:rsid w:val="00352A5F"/>
    <w:rsid w:val="003538BA"/>
    <w:rsid w:val="003655A6"/>
    <w:rsid w:val="003708E5"/>
    <w:rsid w:val="003715C2"/>
    <w:rsid w:val="00376030"/>
    <w:rsid w:val="00382DC2"/>
    <w:rsid w:val="00383EEB"/>
    <w:rsid w:val="00397A24"/>
    <w:rsid w:val="003A1ABF"/>
    <w:rsid w:val="003B20B5"/>
    <w:rsid w:val="003B3090"/>
    <w:rsid w:val="003B3E56"/>
    <w:rsid w:val="00400303"/>
    <w:rsid w:val="00402790"/>
    <w:rsid w:val="004109FE"/>
    <w:rsid w:val="00434791"/>
    <w:rsid w:val="0043707D"/>
    <w:rsid w:val="00455F94"/>
    <w:rsid w:val="00456D2F"/>
    <w:rsid w:val="004602E3"/>
    <w:rsid w:val="00461570"/>
    <w:rsid w:val="00461C14"/>
    <w:rsid w:val="00471038"/>
    <w:rsid w:val="00474335"/>
    <w:rsid w:val="004935C9"/>
    <w:rsid w:val="004A3D41"/>
    <w:rsid w:val="004B167D"/>
    <w:rsid w:val="004B2F3B"/>
    <w:rsid w:val="004C22B6"/>
    <w:rsid w:val="004C3717"/>
    <w:rsid w:val="004C4AE8"/>
    <w:rsid w:val="004C7AAF"/>
    <w:rsid w:val="004D46C1"/>
    <w:rsid w:val="004D5E5B"/>
    <w:rsid w:val="004E1A83"/>
    <w:rsid w:val="004E3233"/>
    <w:rsid w:val="004E395C"/>
    <w:rsid w:val="004E7844"/>
    <w:rsid w:val="0051074D"/>
    <w:rsid w:val="00510867"/>
    <w:rsid w:val="0051653A"/>
    <w:rsid w:val="00516C68"/>
    <w:rsid w:val="005228B5"/>
    <w:rsid w:val="0052416D"/>
    <w:rsid w:val="0053785F"/>
    <w:rsid w:val="00540059"/>
    <w:rsid w:val="0054600F"/>
    <w:rsid w:val="00551BEB"/>
    <w:rsid w:val="00551FCE"/>
    <w:rsid w:val="00560A64"/>
    <w:rsid w:val="00561902"/>
    <w:rsid w:val="00565625"/>
    <w:rsid w:val="00572AC3"/>
    <w:rsid w:val="00586471"/>
    <w:rsid w:val="00586B60"/>
    <w:rsid w:val="00592254"/>
    <w:rsid w:val="00593AC2"/>
    <w:rsid w:val="00597D69"/>
    <w:rsid w:val="005A1CE8"/>
    <w:rsid w:val="005B4F9D"/>
    <w:rsid w:val="005B7C70"/>
    <w:rsid w:val="005D604F"/>
    <w:rsid w:val="005E32FF"/>
    <w:rsid w:val="005F3D7C"/>
    <w:rsid w:val="00602F94"/>
    <w:rsid w:val="00612713"/>
    <w:rsid w:val="006204A3"/>
    <w:rsid w:val="0062748D"/>
    <w:rsid w:val="0063170C"/>
    <w:rsid w:val="00632BF7"/>
    <w:rsid w:val="00637857"/>
    <w:rsid w:val="00637DB2"/>
    <w:rsid w:val="0064451A"/>
    <w:rsid w:val="00650C38"/>
    <w:rsid w:val="00651F02"/>
    <w:rsid w:val="00677C2A"/>
    <w:rsid w:val="00683DA2"/>
    <w:rsid w:val="00692C90"/>
    <w:rsid w:val="006955A7"/>
    <w:rsid w:val="006A1744"/>
    <w:rsid w:val="006A25DC"/>
    <w:rsid w:val="006C69BE"/>
    <w:rsid w:val="006D42B1"/>
    <w:rsid w:val="006D5155"/>
    <w:rsid w:val="006E0B2C"/>
    <w:rsid w:val="006E1B8F"/>
    <w:rsid w:val="006E4014"/>
    <w:rsid w:val="006F6C6A"/>
    <w:rsid w:val="007008BE"/>
    <w:rsid w:val="007119BC"/>
    <w:rsid w:val="00716327"/>
    <w:rsid w:val="007252E6"/>
    <w:rsid w:val="0074152C"/>
    <w:rsid w:val="00754D92"/>
    <w:rsid w:val="00754F05"/>
    <w:rsid w:val="00756310"/>
    <w:rsid w:val="007574E8"/>
    <w:rsid w:val="007643E4"/>
    <w:rsid w:val="007A0410"/>
    <w:rsid w:val="007A2B1F"/>
    <w:rsid w:val="007B3CCF"/>
    <w:rsid w:val="007B533A"/>
    <w:rsid w:val="007B5E99"/>
    <w:rsid w:val="007C70BD"/>
    <w:rsid w:val="007F03C7"/>
    <w:rsid w:val="007F1E11"/>
    <w:rsid w:val="007F449B"/>
    <w:rsid w:val="007F5659"/>
    <w:rsid w:val="007F595E"/>
    <w:rsid w:val="007F69EA"/>
    <w:rsid w:val="007F7EB3"/>
    <w:rsid w:val="00812169"/>
    <w:rsid w:val="00826727"/>
    <w:rsid w:val="008309FB"/>
    <w:rsid w:val="00830DBF"/>
    <w:rsid w:val="00833A62"/>
    <w:rsid w:val="008439BA"/>
    <w:rsid w:val="008501AE"/>
    <w:rsid w:val="00850590"/>
    <w:rsid w:val="0085191F"/>
    <w:rsid w:val="00851F8D"/>
    <w:rsid w:val="00860BFD"/>
    <w:rsid w:val="00861FE8"/>
    <w:rsid w:val="00865042"/>
    <w:rsid w:val="0087554E"/>
    <w:rsid w:val="00877A3B"/>
    <w:rsid w:val="00890E95"/>
    <w:rsid w:val="008A3E5A"/>
    <w:rsid w:val="008B44D7"/>
    <w:rsid w:val="008B6E9E"/>
    <w:rsid w:val="008C3962"/>
    <w:rsid w:val="008D03C2"/>
    <w:rsid w:val="008D57AE"/>
    <w:rsid w:val="008E233F"/>
    <w:rsid w:val="008E295E"/>
    <w:rsid w:val="00911767"/>
    <w:rsid w:val="00935A07"/>
    <w:rsid w:val="009459B5"/>
    <w:rsid w:val="0095651C"/>
    <w:rsid w:val="00963048"/>
    <w:rsid w:val="009643E2"/>
    <w:rsid w:val="00966759"/>
    <w:rsid w:val="00970126"/>
    <w:rsid w:val="00970949"/>
    <w:rsid w:val="009730B5"/>
    <w:rsid w:val="00973523"/>
    <w:rsid w:val="009842BE"/>
    <w:rsid w:val="00985D07"/>
    <w:rsid w:val="0098634C"/>
    <w:rsid w:val="009921E0"/>
    <w:rsid w:val="00995E6A"/>
    <w:rsid w:val="009A201C"/>
    <w:rsid w:val="009A2485"/>
    <w:rsid w:val="009A252C"/>
    <w:rsid w:val="009A2A02"/>
    <w:rsid w:val="009A6AA0"/>
    <w:rsid w:val="009C5257"/>
    <w:rsid w:val="009C7F74"/>
    <w:rsid w:val="009D35A7"/>
    <w:rsid w:val="009D3E4C"/>
    <w:rsid w:val="009D5390"/>
    <w:rsid w:val="009D7D32"/>
    <w:rsid w:val="009E05C2"/>
    <w:rsid w:val="009E0740"/>
    <w:rsid w:val="009E4494"/>
    <w:rsid w:val="009E4DF8"/>
    <w:rsid w:val="009E64C7"/>
    <w:rsid w:val="009F0F3B"/>
    <w:rsid w:val="009F149D"/>
    <w:rsid w:val="009F3BEA"/>
    <w:rsid w:val="00A009BF"/>
    <w:rsid w:val="00A01EE1"/>
    <w:rsid w:val="00A17026"/>
    <w:rsid w:val="00A21053"/>
    <w:rsid w:val="00A22083"/>
    <w:rsid w:val="00A265E4"/>
    <w:rsid w:val="00A33202"/>
    <w:rsid w:val="00A403EB"/>
    <w:rsid w:val="00A5288C"/>
    <w:rsid w:val="00A53B93"/>
    <w:rsid w:val="00A5667A"/>
    <w:rsid w:val="00A61FFB"/>
    <w:rsid w:val="00A63CDA"/>
    <w:rsid w:val="00A7015C"/>
    <w:rsid w:val="00A7339E"/>
    <w:rsid w:val="00A911DC"/>
    <w:rsid w:val="00A91999"/>
    <w:rsid w:val="00AA478B"/>
    <w:rsid w:val="00AA5A1E"/>
    <w:rsid w:val="00AC411A"/>
    <w:rsid w:val="00AC45A0"/>
    <w:rsid w:val="00AC6957"/>
    <w:rsid w:val="00AD057E"/>
    <w:rsid w:val="00AD1051"/>
    <w:rsid w:val="00AD536A"/>
    <w:rsid w:val="00AD70D5"/>
    <w:rsid w:val="00AE26E8"/>
    <w:rsid w:val="00AE5221"/>
    <w:rsid w:val="00AF0A88"/>
    <w:rsid w:val="00AF5D9B"/>
    <w:rsid w:val="00B10D8B"/>
    <w:rsid w:val="00B11D7C"/>
    <w:rsid w:val="00B14BE2"/>
    <w:rsid w:val="00B14F41"/>
    <w:rsid w:val="00B1679B"/>
    <w:rsid w:val="00B169EE"/>
    <w:rsid w:val="00B20743"/>
    <w:rsid w:val="00B273BB"/>
    <w:rsid w:val="00B31068"/>
    <w:rsid w:val="00B34923"/>
    <w:rsid w:val="00B464C7"/>
    <w:rsid w:val="00B504A1"/>
    <w:rsid w:val="00B509A3"/>
    <w:rsid w:val="00B5495E"/>
    <w:rsid w:val="00B60765"/>
    <w:rsid w:val="00B63ACD"/>
    <w:rsid w:val="00B739BC"/>
    <w:rsid w:val="00B81479"/>
    <w:rsid w:val="00B85F07"/>
    <w:rsid w:val="00B92EB7"/>
    <w:rsid w:val="00BA3C0E"/>
    <w:rsid w:val="00BB2D47"/>
    <w:rsid w:val="00BB44C0"/>
    <w:rsid w:val="00BB6C9E"/>
    <w:rsid w:val="00BC7565"/>
    <w:rsid w:val="00BD13F6"/>
    <w:rsid w:val="00BD37F6"/>
    <w:rsid w:val="00BD75D8"/>
    <w:rsid w:val="00BE0E5F"/>
    <w:rsid w:val="00BE1C54"/>
    <w:rsid w:val="00BF0E3F"/>
    <w:rsid w:val="00C036DF"/>
    <w:rsid w:val="00C0623A"/>
    <w:rsid w:val="00C229BA"/>
    <w:rsid w:val="00C40145"/>
    <w:rsid w:val="00C46EEC"/>
    <w:rsid w:val="00C56D5F"/>
    <w:rsid w:val="00C579B0"/>
    <w:rsid w:val="00C64221"/>
    <w:rsid w:val="00C70BF3"/>
    <w:rsid w:val="00C70E02"/>
    <w:rsid w:val="00C71E8B"/>
    <w:rsid w:val="00C72F1B"/>
    <w:rsid w:val="00C75132"/>
    <w:rsid w:val="00C865D8"/>
    <w:rsid w:val="00C86B5F"/>
    <w:rsid w:val="00C94086"/>
    <w:rsid w:val="00C9676E"/>
    <w:rsid w:val="00CB2619"/>
    <w:rsid w:val="00CC3BF4"/>
    <w:rsid w:val="00CC7A07"/>
    <w:rsid w:val="00CD7690"/>
    <w:rsid w:val="00CF17EE"/>
    <w:rsid w:val="00CF7ACA"/>
    <w:rsid w:val="00D1261C"/>
    <w:rsid w:val="00D12AB0"/>
    <w:rsid w:val="00D234D0"/>
    <w:rsid w:val="00D27D3A"/>
    <w:rsid w:val="00D41F7C"/>
    <w:rsid w:val="00D45D8F"/>
    <w:rsid w:val="00D47209"/>
    <w:rsid w:val="00D50A87"/>
    <w:rsid w:val="00D80E85"/>
    <w:rsid w:val="00D83D56"/>
    <w:rsid w:val="00D83D5E"/>
    <w:rsid w:val="00D91BB7"/>
    <w:rsid w:val="00DA1616"/>
    <w:rsid w:val="00DB1311"/>
    <w:rsid w:val="00DD72CC"/>
    <w:rsid w:val="00DE10C0"/>
    <w:rsid w:val="00DE396A"/>
    <w:rsid w:val="00DE6BF7"/>
    <w:rsid w:val="00DF0974"/>
    <w:rsid w:val="00DF199B"/>
    <w:rsid w:val="00DF5AED"/>
    <w:rsid w:val="00E02515"/>
    <w:rsid w:val="00E05ABA"/>
    <w:rsid w:val="00E23ADD"/>
    <w:rsid w:val="00E2423D"/>
    <w:rsid w:val="00E30C12"/>
    <w:rsid w:val="00E36B05"/>
    <w:rsid w:val="00E47DC1"/>
    <w:rsid w:val="00E528D1"/>
    <w:rsid w:val="00E63A56"/>
    <w:rsid w:val="00E65534"/>
    <w:rsid w:val="00E718D7"/>
    <w:rsid w:val="00E90811"/>
    <w:rsid w:val="00E92894"/>
    <w:rsid w:val="00E92C17"/>
    <w:rsid w:val="00E9419B"/>
    <w:rsid w:val="00E96D72"/>
    <w:rsid w:val="00EA257F"/>
    <w:rsid w:val="00EA3FD4"/>
    <w:rsid w:val="00EB4619"/>
    <w:rsid w:val="00EE7798"/>
    <w:rsid w:val="00F02067"/>
    <w:rsid w:val="00F02A34"/>
    <w:rsid w:val="00F02DE1"/>
    <w:rsid w:val="00F12C36"/>
    <w:rsid w:val="00F15DC1"/>
    <w:rsid w:val="00F204AD"/>
    <w:rsid w:val="00F26F37"/>
    <w:rsid w:val="00F30616"/>
    <w:rsid w:val="00F30C42"/>
    <w:rsid w:val="00F32954"/>
    <w:rsid w:val="00F34075"/>
    <w:rsid w:val="00F36D1F"/>
    <w:rsid w:val="00F64505"/>
    <w:rsid w:val="00F7349D"/>
    <w:rsid w:val="00F81338"/>
    <w:rsid w:val="00F916A4"/>
    <w:rsid w:val="00F957DF"/>
    <w:rsid w:val="00FA441A"/>
    <w:rsid w:val="00FA6CE1"/>
    <w:rsid w:val="00FA7AFE"/>
    <w:rsid w:val="00FB0FC8"/>
    <w:rsid w:val="00FB2DEC"/>
    <w:rsid w:val="00FB62B9"/>
    <w:rsid w:val="00FB6920"/>
    <w:rsid w:val="00FC21B4"/>
    <w:rsid w:val="00FC4559"/>
    <w:rsid w:val="00FC457A"/>
    <w:rsid w:val="00FC742F"/>
    <w:rsid w:val="00FD0CF7"/>
    <w:rsid w:val="00FD13E9"/>
    <w:rsid w:val="00FD5220"/>
    <w:rsid w:val="00FD6301"/>
    <w:rsid w:val="00FF3CFD"/>
    <w:rsid w:val="00FF735E"/>
    <w:rsid w:val="00FF7EA3"/>
    <w:rsid w:val="010B7BD2"/>
    <w:rsid w:val="0143496A"/>
    <w:rsid w:val="014A287B"/>
    <w:rsid w:val="0161429B"/>
    <w:rsid w:val="016F521A"/>
    <w:rsid w:val="018577CD"/>
    <w:rsid w:val="01884664"/>
    <w:rsid w:val="0192287F"/>
    <w:rsid w:val="01CD6C0F"/>
    <w:rsid w:val="01E8330A"/>
    <w:rsid w:val="01FD51A6"/>
    <w:rsid w:val="021B3E9D"/>
    <w:rsid w:val="022F5059"/>
    <w:rsid w:val="023E3A14"/>
    <w:rsid w:val="02733950"/>
    <w:rsid w:val="02796243"/>
    <w:rsid w:val="028231FE"/>
    <w:rsid w:val="0290785E"/>
    <w:rsid w:val="02A527D9"/>
    <w:rsid w:val="02C23FDF"/>
    <w:rsid w:val="02C53D7C"/>
    <w:rsid w:val="02D45384"/>
    <w:rsid w:val="02D47B30"/>
    <w:rsid w:val="02E9454E"/>
    <w:rsid w:val="03171BF9"/>
    <w:rsid w:val="035508BA"/>
    <w:rsid w:val="036E530E"/>
    <w:rsid w:val="037C3748"/>
    <w:rsid w:val="03980F58"/>
    <w:rsid w:val="03A53C9A"/>
    <w:rsid w:val="03BD46AF"/>
    <w:rsid w:val="03E906EE"/>
    <w:rsid w:val="03EB4E90"/>
    <w:rsid w:val="041662CD"/>
    <w:rsid w:val="04241E73"/>
    <w:rsid w:val="04262995"/>
    <w:rsid w:val="042B5724"/>
    <w:rsid w:val="0433107A"/>
    <w:rsid w:val="043D0974"/>
    <w:rsid w:val="04690C9B"/>
    <w:rsid w:val="04D24BD5"/>
    <w:rsid w:val="04F1742A"/>
    <w:rsid w:val="04F637CA"/>
    <w:rsid w:val="052E22E8"/>
    <w:rsid w:val="05347706"/>
    <w:rsid w:val="05435A52"/>
    <w:rsid w:val="05472224"/>
    <w:rsid w:val="055D4226"/>
    <w:rsid w:val="05D66FA3"/>
    <w:rsid w:val="05D7205D"/>
    <w:rsid w:val="05F36725"/>
    <w:rsid w:val="05F97E1E"/>
    <w:rsid w:val="05FC5F6C"/>
    <w:rsid w:val="05FF3E62"/>
    <w:rsid w:val="05FF5242"/>
    <w:rsid w:val="06231EFD"/>
    <w:rsid w:val="062C04B9"/>
    <w:rsid w:val="06422DB1"/>
    <w:rsid w:val="065870C9"/>
    <w:rsid w:val="065D210B"/>
    <w:rsid w:val="066B0753"/>
    <w:rsid w:val="06702EAB"/>
    <w:rsid w:val="06795F3F"/>
    <w:rsid w:val="067E389C"/>
    <w:rsid w:val="06813213"/>
    <w:rsid w:val="06A134CC"/>
    <w:rsid w:val="06A60C30"/>
    <w:rsid w:val="06B119B4"/>
    <w:rsid w:val="06D30203"/>
    <w:rsid w:val="070F54E4"/>
    <w:rsid w:val="07151A4F"/>
    <w:rsid w:val="071627EF"/>
    <w:rsid w:val="07343593"/>
    <w:rsid w:val="073E02C2"/>
    <w:rsid w:val="075705A1"/>
    <w:rsid w:val="076C4842"/>
    <w:rsid w:val="07B551BD"/>
    <w:rsid w:val="07BC4774"/>
    <w:rsid w:val="07D141F8"/>
    <w:rsid w:val="07D26C76"/>
    <w:rsid w:val="081630AE"/>
    <w:rsid w:val="083E2775"/>
    <w:rsid w:val="084D157A"/>
    <w:rsid w:val="08611CE7"/>
    <w:rsid w:val="086766A0"/>
    <w:rsid w:val="086D1BC1"/>
    <w:rsid w:val="086F4BF2"/>
    <w:rsid w:val="08734B0F"/>
    <w:rsid w:val="08D15660"/>
    <w:rsid w:val="08E13BA5"/>
    <w:rsid w:val="08EF12F5"/>
    <w:rsid w:val="08F37C0A"/>
    <w:rsid w:val="08FD5135"/>
    <w:rsid w:val="091D6D2A"/>
    <w:rsid w:val="0934428C"/>
    <w:rsid w:val="09535363"/>
    <w:rsid w:val="095D64D1"/>
    <w:rsid w:val="09606FD4"/>
    <w:rsid w:val="09DB77F6"/>
    <w:rsid w:val="09DF3508"/>
    <w:rsid w:val="09EB6247"/>
    <w:rsid w:val="0A002D14"/>
    <w:rsid w:val="0A057831"/>
    <w:rsid w:val="0A0A4B54"/>
    <w:rsid w:val="0A1D7AE7"/>
    <w:rsid w:val="0A34078D"/>
    <w:rsid w:val="0A6778F5"/>
    <w:rsid w:val="0A715808"/>
    <w:rsid w:val="0AA64848"/>
    <w:rsid w:val="0AB038FA"/>
    <w:rsid w:val="0AB42826"/>
    <w:rsid w:val="0AC071D0"/>
    <w:rsid w:val="0ACE526C"/>
    <w:rsid w:val="0ACF685A"/>
    <w:rsid w:val="0ADD0260"/>
    <w:rsid w:val="0B1378FA"/>
    <w:rsid w:val="0B176497"/>
    <w:rsid w:val="0B210255"/>
    <w:rsid w:val="0B627B1C"/>
    <w:rsid w:val="0B7569DD"/>
    <w:rsid w:val="0B756CA4"/>
    <w:rsid w:val="0BDC6240"/>
    <w:rsid w:val="0C567B94"/>
    <w:rsid w:val="0C5A35C8"/>
    <w:rsid w:val="0C724156"/>
    <w:rsid w:val="0C961F39"/>
    <w:rsid w:val="0CAB7001"/>
    <w:rsid w:val="0CAD5F38"/>
    <w:rsid w:val="0CB908B9"/>
    <w:rsid w:val="0CB9349C"/>
    <w:rsid w:val="0CD043B5"/>
    <w:rsid w:val="0CDB39AB"/>
    <w:rsid w:val="0D0F1ED1"/>
    <w:rsid w:val="0D153DDC"/>
    <w:rsid w:val="0D1D57DC"/>
    <w:rsid w:val="0D1E7B48"/>
    <w:rsid w:val="0D277310"/>
    <w:rsid w:val="0D3A363C"/>
    <w:rsid w:val="0D5200A9"/>
    <w:rsid w:val="0D5B02E4"/>
    <w:rsid w:val="0D616C6A"/>
    <w:rsid w:val="0D9711B2"/>
    <w:rsid w:val="0DCB4048"/>
    <w:rsid w:val="0DDA5B01"/>
    <w:rsid w:val="0DFE43DA"/>
    <w:rsid w:val="0E023287"/>
    <w:rsid w:val="0E21634A"/>
    <w:rsid w:val="0E245870"/>
    <w:rsid w:val="0E283FB3"/>
    <w:rsid w:val="0E2F75DE"/>
    <w:rsid w:val="0E383782"/>
    <w:rsid w:val="0E54482E"/>
    <w:rsid w:val="0E8A0880"/>
    <w:rsid w:val="0E9111D2"/>
    <w:rsid w:val="0E91595E"/>
    <w:rsid w:val="0EB649B2"/>
    <w:rsid w:val="0EC71BEC"/>
    <w:rsid w:val="0F032F6F"/>
    <w:rsid w:val="0F044E3A"/>
    <w:rsid w:val="0F055CCB"/>
    <w:rsid w:val="0F0B351D"/>
    <w:rsid w:val="0F1A4731"/>
    <w:rsid w:val="0F4E7F38"/>
    <w:rsid w:val="0F7F147A"/>
    <w:rsid w:val="0F8D58B3"/>
    <w:rsid w:val="0FB86BB8"/>
    <w:rsid w:val="10051C50"/>
    <w:rsid w:val="10291797"/>
    <w:rsid w:val="10457982"/>
    <w:rsid w:val="104929A1"/>
    <w:rsid w:val="105150BD"/>
    <w:rsid w:val="10586587"/>
    <w:rsid w:val="1063189E"/>
    <w:rsid w:val="107C435F"/>
    <w:rsid w:val="108353AD"/>
    <w:rsid w:val="10A36E15"/>
    <w:rsid w:val="10CA369B"/>
    <w:rsid w:val="10F2503A"/>
    <w:rsid w:val="10FD2625"/>
    <w:rsid w:val="11030642"/>
    <w:rsid w:val="1107142E"/>
    <w:rsid w:val="111A4E7A"/>
    <w:rsid w:val="116022E6"/>
    <w:rsid w:val="117D3864"/>
    <w:rsid w:val="11CC6076"/>
    <w:rsid w:val="11D55FF2"/>
    <w:rsid w:val="11EF4920"/>
    <w:rsid w:val="11FA4A70"/>
    <w:rsid w:val="11FC77A7"/>
    <w:rsid w:val="12125B8C"/>
    <w:rsid w:val="121A0B3B"/>
    <w:rsid w:val="121A6124"/>
    <w:rsid w:val="121A6C0B"/>
    <w:rsid w:val="121D7C3E"/>
    <w:rsid w:val="121D7F84"/>
    <w:rsid w:val="125D74B5"/>
    <w:rsid w:val="126A1C32"/>
    <w:rsid w:val="12741F8A"/>
    <w:rsid w:val="12854024"/>
    <w:rsid w:val="12890952"/>
    <w:rsid w:val="12B839F5"/>
    <w:rsid w:val="12C82499"/>
    <w:rsid w:val="12FB128B"/>
    <w:rsid w:val="133867D5"/>
    <w:rsid w:val="1354218C"/>
    <w:rsid w:val="13A37C7E"/>
    <w:rsid w:val="13C27156"/>
    <w:rsid w:val="14172225"/>
    <w:rsid w:val="142B7F7D"/>
    <w:rsid w:val="146F42CC"/>
    <w:rsid w:val="14AD4E44"/>
    <w:rsid w:val="14CA0D90"/>
    <w:rsid w:val="14E821D0"/>
    <w:rsid w:val="14EA4831"/>
    <w:rsid w:val="14EE2851"/>
    <w:rsid w:val="14FD6C55"/>
    <w:rsid w:val="15000592"/>
    <w:rsid w:val="15170445"/>
    <w:rsid w:val="151B37F7"/>
    <w:rsid w:val="15316EAD"/>
    <w:rsid w:val="154F680F"/>
    <w:rsid w:val="15C40A69"/>
    <w:rsid w:val="163312FC"/>
    <w:rsid w:val="16690925"/>
    <w:rsid w:val="167563A8"/>
    <w:rsid w:val="16AE6042"/>
    <w:rsid w:val="16C57731"/>
    <w:rsid w:val="16CC5793"/>
    <w:rsid w:val="173F657E"/>
    <w:rsid w:val="17693BCC"/>
    <w:rsid w:val="17854F74"/>
    <w:rsid w:val="17A97FFD"/>
    <w:rsid w:val="17AA183F"/>
    <w:rsid w:val="17BF17AC"/>
    <w:rsid w:val="17FE6DF4"/>
    <w:rsid w:val="18213480"/>
    <w:rsid w:val="18247151"/>
    <w:rsid w:val="18254748"/>
    <w:rsid w:val="185A0B11"/>
    <w:rsid w:val="185A4860"/>
    <w:rsid w:val="18732A1B"/>
    <w:rsid w:val="18937086"/>
    <w:rsid w:val="18A04D95"/>
    <w:rsid w:val="190C2680"/>
    <w:rsid w:val="191F63D5"/>
    <w:rsid w:val="195B7EBD"/>
    <w:rsid w:val="19654D59"/>
    <w:rsid w:val="196F4069"/>
    <w:rsid w:val="19891909"/>
    <w:rsid w:val="19AC5E26"/>
    <w:rsid w:val="19D87C3F"/>
    <w:rsid w:val="19E15BC1"/>
    <w:rsid w:val="1A217292"/>
    <w:rsid w:val="1A352042"/>
    <w:rsid w:val="1A6D79F3"/>
    <w:rsid w:val="1A736B05"/>
    <w:rsid w:val="1A765907"/>
    <w:rsid w:val="1A9C7AD3"/>
    <w:rsid w:val="1AA27163"/>
    <w:rsid w:val="1AAA4644"/>
    <w:rsid w:val="1ACF439A"/>
    <w:rsid w:val="1AE17584"/>
    <w:rsid w:val="1AE24E3B"/>
    <w:rsid w:val="1B0F7662"/>
    <w:rsid w:val="1B1A3309"/>
    <w:rsid w:val="1B282EA5"/>
    <w:rsid w:val="1B2F01F7"/>
    <w:rsid w:val="1B807457"/>
    <w:rsid w:val="1B832885"/>
    <w:rsid w:val="1B952E18"/>
    <w:rsid w:val="1BEE0CC5"/>
    <w:rsid w:val="1C1B17CC"/>
    <w:rsid w:val="1C35198D"/>
    <w:rsid w:val="1C3A1777"/>
    <w:rsid w:val="1C3B0523"/>
    <w:rsid w:val="1C3B7E7E"/>
    <w:rsid w:val="1C4933F0"/>
    <w:rsid w:val="1C626417"/>
    <w:rsid w:val="1CAE4C75"/>
    <w:rsid w:val="1CB97042"/>
    <w:rsid w:val="1CD8293B"/>
    <w:rsid w:val="1CDA33E7"/>
    <w:rsid w:val="1CFB1073"/>
    <w:rsid w:val="1D0A2E3C"/>
    <w:rsid w:val="1D1711DB"/>
    <w:rsid w:val="1D30010B"/>
    <w:rsid w:val="1D337EBC"/>
    <w:rsid w:val="1D492FA7"/>
    <w:rsid w:val="1DA63EF4"/>
    <w:rsid w:val="1DF76DD6"/>
    <w:rsid w:val="1E324B0D"/>
    <w:rsid w:val="1E3910A4"/>
    <w:rsid w:val="1E6130BB"/>
    <w:rsid w:val="1E696A14"/>
    <w:rsid w:val="1EAD63D5"/>
    <w:rsid w:val="1EB04B98"/>
    <w:rsid w:val="1EE02710"/>
    <w:rsid w:val="1F1A719F"/>
    <w:rsid w:val="1F1B1D40"/>
    <w:rsid w:val="1F1C3EE6"/>
    <w:rsid w:val="1F4F1119"/>
    <w:rsid w:val="1F761129"/>
    <w:rsid w:val="1F82305D"/>
    <w:rsid w:val="1FA05471"/>
    <w:rsid w:val="1FAF5847"/>
    <w:rsid w:val="1FBC7C45"/>
    <w:rsid w:val="1FEC1CDB"/>
    <w:rsid w:val="20043A13"/>
    <w:rsid w:val="201F50AB"/>
    <w:rsid w:val="20286BE7"/>
    <w:rsid w:val="202D7C49"/>
    <w:rsid w:val="205C55F5"/>
    <w:rsid w:val="20867976"/>
    <w:rsid w:val="2089713B"/>
    <w:rsid w:val="209B5B4C"/>
    <w:rsid w:val="20A02DD5"/>
    <w:rsid w:val="20A506EA"/>
    <w:rsid w:val="20A8265D"/>
    <w:rsid w:val="20C23B31"/>
    <w:rsid w:val="2108125A"/>
    <w:rsid w:val="211E72B1"/>
    <w:rsid w:val="21591110"/>
    <w:rsid w:val="216633DA"/>
    <w:rsid w:val="21DB070A"/>
    <w:rsid w:val="21EC349F"/>
    <w:rsid w:val="21FF47DB"/>
    <w:rsid w:val="2240258F"/>
    <w:rsid w:val="22702D5E"/>
    <w:rsid w:val="227674C8"/>
    <w:rsid w:val="2298358E"/>
    <w:rsid w:val="22B02C65"/>
    <w:rsid w:val="22CF3A06"/>
    <w:rsid w:val="2335498D"/>
    <w:rsid w:val="23356FED"/>
    <w:rsid w:val="2345760F"/>
    <w:rsid w:val="235112E4"/>
    <w:rsid w:val="23621F42"/>
    <w:rsid w:val="238C52DA"/>
    <w:rsid w:val="238F728B"/>
    <w:rsid w:val="23F877B1"/>
    <w:rsid w:val="23FA2EBA"/>
    <w:rsid w:val="24055D9A"/>
    <w:rsid w:val="24C40DEC"/>
    <w:rsid w:val="24C47B4E"/>
    <w:rsid w:val="24ED0608"/>
    <w:rsid w:val="24EE2B98"/>
    <w:rsid w:val="24F51A50"/>
    <w:rsid w:val="25013871"/>
    <w:rsid w:val="251A2EC1"/>
    <w:rsid w:val="255F743F"/>
    <w:rsid w:val="257A5247"/>
    <w:rsid w:val="257A5BE4"/>
    <w:rsid w:val="25B95445"/>
    <w:rsid w:val="25C1365F"/>
    <w:rsid w:val="25C805EC"/>
    <w:rsid w:val="25DB357E"/>
    <w:rsid w:val="25E2074D"/>
    <w:rsid w:val="25F70039"/>
    <w:rsid w:val="261467FE"/>
    <w:rsid w:val="262E15FD"/>
    <w:rsid w:val="264B1906"/>
    <w:rsid w:val="264E4B97"/>
    <w:rsid w:val="264F033F"/>
    <w:rsid w:val="266A49FF"/>
    <w:rsid w:val="267723DF"/>
    <w:rsid w:val="26830FF4"/>
    <w:rsid w:val="268C2763"/>
    <w:rsid w:val="269A103F"/>
    <w:rsid w:val="26B25CF2"/>
    <w:rsid w:val="26D41885"/>
    <w:rsid w:val="26D911BC"/>
    <w:rsid w:val="2704485B"/>
    <w:rsid w:val="27111275"/>
    <w:rsid w:val="271C0900"/>
    <w:rsid w:val="273B0E9F"/>
    <w:rsid w:val="273F6507"/>
    <w:rsid w:val="27482927"/>
    <w:rsid w:val="27983D43"/>
    <w:rsid w:val="27C6726C"/>
    <w:rsid w:val="27CB2974"/>
    <w:rsid w:val="27CC086E"/>
    <w:rsid w:val="282657B4"/>
    <w:rsid w:val="28354087"/>
    <w:rsid w:val="283C6077"/>
    <w:rsid w:val="289E7019"/>
    <w:rsid w:val="28D21782"/>
    <w:rsid w:val="2900490A"/>
    <w:rsid w:val="29104F95"/>
    <w:rsid w:val="29160A6A"/>
    <w:rsid w:val="29496A2B"/>
    <w:rsid w:val="298619C5"/>
    <w:rsid w:val="29CD6E0B"/>
    <w:rsid w:val="29DB7009"/>
    <w:rsid w:val="29E12779"/>
    <w:rsid w:val="29F274D9"/>
    <w:rsid w:val="29F54660"/>
    <w:rsid w:val="29F83015"/>
    <w:rsid w:val="2A074834"/>
    <w:rsid w:val="2A1A4B90"/>
    <w:rsid w:val="2A8D0BC5"/>
    <w:rsid w:val="2A9D6489"/>
    <w:rsid w:val="2AAE5511"/>
    <w:rsid w:val="2B3A611D"/>
    <w:rsid w:val="2B4A23FD"/>
    <w:rsid w:val="2B5F4365"/>
    <w:rsid w:val="2B857219"/>
    <w:rsid w:val="2B8E2A76"/>
    <w:rsid w:val="2BFF1B37"/>
    <w:rsid w:val="2C0F7423"/>
    <w:rsid w:val="2C2B19BA"/>
    <w:rsid w:val="2C442B0D"/>
    <w:rsid w:val="2C4C727A"/>
    <w:rsid w:val="2C95682C"/>
    <w:rsid w:val="2CA15966"/>
    <w:rsid w:val="2CB143C5"/>
    <w:rsid w:val="2CEF19AF"/>
    <w:rsid w:val="2D2536DC"/>
    <w:rsid w:val="2D380720"/>
    <w:rsid w:val="2D3F4A4F"/>
    <w:rsid w:val="2D6C488B"/>
    <w:rsid w:val="2E0010BE"/>
    <w:rsid w:val="2E065750"/>
    <w:rsid w:val="2E2703EA"/>
    <w:rsid w:val="2E632F3C"/>
    <w:rsid w:val="2ECB42D1"/>
    <w:rsid w:val="2ECD0CBF"/>
    <w:rsid w:val="2EEE2F8B"/>
    <w:rsid w:val="2F143137"/>
    <w:rsid w:val="2F2E713E"/>
    <w:rsid w:val="2F2F4078"/>
    <w:rsid w:val="2F3F511C"/>
    <w:rsid w:val="2F6E2E44"/>
    <w:rsid w:val="2F9766E3"/>
    <w:rsid w:val="2FE5271D"/>
    <w:rsid w:val="2FFD6164"/>
    <w:rsid w:val="30107868"/>
    <w:rsid w:val="301F27EC"/>
    <w:rsid w:val="30200624"/>
    <w:rsid w:val="302216FB"/>
    <w:rsid w:val="3037562B"/>
    <w:rsid w:val="30402632"/>
    <w:rsid w:val="30733E1D"/>
    <w:rsid w:val="3096741E"/>
    <w:rsid w:val="30A110A4"/>
    <w:rsid w:val="30B36C61"/>
    <w:rsid w:val="30B52369"/>
    <w:rsid w:val="30B73648"/>
    <w:rsid w:val="30C21F49"/>
    <w:rsid w:val="30C37B1B"/>
    <w:rsid w:val="31283BB5"/>
    <w:rsid w:val="31434320"/>
    <w:rsid w:val="31486F2C"/>
    <w:rsid w:val="315D757E"/>
    <w:rsid w:val="317A69BB"/>
    <w:rsid w:val="31992EB9"/>
    <w:rsid w:val="31A4332B"/>
    <w:rsid w:val="31B12DC9"/>
    <w:rsid w:val="31B2630F"/>
    <w:rsid w:val="31E05B58"/>
    <w:rsid w:val="321C6ECD"/>
    <w:rsid w:val="323131C9"/>
    <w:rsid w:val="32323330"/>
    <w:rsid w:val="32602235"/>
    <w:rsid w:val="328027DA"/>
    <w:rsid w:val="32AD0407"/>
    <w:rsid w:val="32B70202"/>
    <w:rsid w:val="32C26D2F"/>
    <w:rsid w:val="32C3297F"/>
    <w:rsid w:val="32CA669F"/>
    <w:rsid w:val="32D91720"/>
    <w:rsid w:val="32DA6D76"/>
    <w:rsid w:val="32F468C9"/>
    <w:rsid w:val="33211ACB"/>
    <w:rsid w:val="33216F9B"/>
    <w:rsid w:val="33335DC6"/>
    <w:rsid w:val="33342717"/>
    <w:rsid w:val="33532CCF"/>
    <w:rsid w:val="33615080"/>
    <w:rsid w:val="338349BC"/>
    <w:rsid w:val="33AB31F2"/>
    <w:rsid w:val="33F37670"/>
    <w:rsid w:val="33F61A2E"/>
    <w:rsid w:val="343245B1"/>
    <w:rsid w:val="347A0144"/>
    <w:rsid w:val="348A461C"/>
    <w:rsid w:val="349D7093"/>
    <w:rsid w:val="34B1413D"/>
    <w:rsid w:val="351322D0"/>
    <w:rsid w:val="357B023E"/>
    <w:rsid w:val="35851A3A"/>
    <w:rsid w:val="35AB0D5C"/>
    <w:rsid w:val="35BE7F5D"/>
    <w:rsid w:val="35CD3935"/>
    <w:rsid w:val="35F12602"/>
    <w:rsid w:val="36014FA3"/>
    <w:rsid w:val="36113644"/>
    <w:rsid w:val="364B3E7A"/>
    <w:rsid w:val="365E566F"/>
    <w:rsid w:val="36601FFD"/>
    <w:rsid w:val="36D20A78"/>
    <w:rsid w:val="36DF659D"/>
    <w:rsid w:val="37074BD6"/>
    <w:rsid w:val="37161042"/>
    <w:rsid w:val="37224DFE"/>
    <w:rsid w:val="37724D1E"/>
    <w:rsid w:val="379B2ED6"/>
    <w:rsid w:val="37A30CFD"/>
    <w:rsid w:val="37A72FFE"/>
    <w:rsid w:val="37B26DB8"/>
    <w:rsid w:val="37FE1E64"/>
    <w:rsid w:val="38203191"/>
    <w:rsid w:val="38231F83"/>
    <w:rsid w:val="383E5D60"/>
    <w:rsid w:val="384D1B5D"/>
    <w:rsid w:val="385A0EAA"/>
    <w:rsid w:val="385D408A"/>
    <w:rsid w:val="386A6F5A"/>
    <w:rsid w:val="3881359D"/>
    <w:rsid w:val="3899362A"/>
    <w:rsid w:val="38EF2E3F"/>
    <w:rsid w:val="38F75971"/>
    <w:rsid w:val="391C0FB5"/>
    <w:rsid w:val="394D72A3"/>
    <w:rsid w:val="39521DE6"/>
    <w:rsid w:val="39544012"/>
    <w:rsid w:val="3960396A"/>
    <w:rsid w:val="39640063"/>
    <w:rsid w:val="39723136"/>
    <w:rsid w:val="397A58BC"/>
    <w:rsid w:val="39843B34"/>
    <w:rsid w:val="39C53791"/>
    <w:rsid w:val="39E3224E"/>
    <w:rsid w:val="3A04181E"/>
    <w:rsid w:val="3A3C3F6F"/>
    <w:rsid w:val="3A3D4BC8"/>
    <w:rsid w:val="3A537A01"/>
    <w:rsid w:val="3A591337"/>
    <w:rsid w:val="3A5C5DC6"/>
    <w:rsid w:val="3A633593"/>
    <w:rsid w:val="3A6D0344"/>
    <w:rsid w:val="3A782F64"/>
    <w:rsid w:val="3A9112FA"/>
    <w:rsid w:val="3AA071B2"/>
    <w:rsid w:val="3AA97F22"/>
    <w:rsid w:val="3AD127ED"/>
    <w:rsid w:val="3ADE13F4"/>
    <w:rsid w:val="3ADE30A1"/>
    <w:rsid w:val="3AF81A31"/>
    <w:rsid w:val="3B1235D0"/>
    <w:rsid w:val="3B9B6C48"/>
    <w:rsid w:val="3BBF47C6"/>
    <w:rsid w:val="3C234D80"/>
    <w:rsid w:val="3C3C5899"/>
    <w:rsid w:val="3C42681F"/>
    <w:rsid w:val="3C4A29BE"/>
    <w:rsid w:val="3C8C7E74"/>
    <w:rsid w:val="3CBD5CA6"/>
    <w:rsid w:val="3CC70BBF"/>
    <w:rsid w:val="3CCC5131"/>
    <w:rsid w:val="3CEB31C7"/>
    <w:rsid w:val="3CF743AE"/>
    <w:rsid w:val="3D0F3D59"/>
    <w:rsid w:val="3D1F4D9A"/>
    <w:rsid w:val="3D24377E"/>
    <w:rsid w:val="3D391FA3"/>
    <w:rsid w:val="3D520814"/>
    <w:rsid w:val="3D566BA8"/>
    <w:rsid w:val="3D6D446D"/>
    <w:rsid w:val="3D7A4326"/>
    <w:rsid w:val="3DB0519A"/>
    <w:rsid w:val="3DB336B7"/>
    <w:rsid w:val="3DD35178"/>
    <w:rsid w:val="3DE2769F"/>
    <w:rsid w:val="3DF22B68"/>
    <w:rsid w:val="3E0A1BD2"/>
    <w:rsid w:val="3E0A6A1E"/>
    <w:rsid w:val="3E653217"/>
    <w:rsid w:val="3E76449F"/>
    <w:rsid w:val="3E9C2E3E"/>
    <w:rsid w:val="3EA34E24"/>
    <w:rsid w:val="3ECF0B70"/>
    <w:rsid w:val="3ED56AED"/>
    <w:rsid w:val="3ED633E1"/>
    <w:rsid w:val="3EF07D44"/>
    <w:rsid w:val="3EF43037"/>
    <w:rsid w:val="3F5E51FF"/>
    <w:rsid w:val="3F6A5C45"/>
    <w:rsid w:val="3FDF24E4"/>
    <w:rsid w:val="3FF104A5"/>
    <w:rsid w:val="4004706C"/>
    <w:rsid w:val="400E2F20"/>
    <w:rsid w:val="40385F17"/>
    <w:rsid w:val="403F697C"/>
    <w:rsid w:val="406A3F6F"/>
    <w:rsid w:val="40813CE0"/>
    <w:rsid w:val="40A01C85"/>
    <w:rsid w:val="40AA22DB"/>
    <w:rsid w:val="40B560EB"/>
    <w:rsid w:val="40BB7C11"/>
    <w:rsid w:val="41441915"/>
    <w:rsid w:val="417B0F19"/>
    <w:rsid w:val="419D4ED4"/>
    <w:rsid w:val="41B22D3C"/>
    <w:rsid w:val="41B57C77"/>
    <w:rsid w:val="41E869B7"/>
    <w:rsid w:val="41F36D58"/>
    <w:rsid w:val="41F73DDE"/>
    <w:rsid w:val="4218005B"/>
    <w:rsid w:val="425129E2"/>
    <w:rsid w:val="425E32E0"/>
    <w:rsid w:val="42677A68"/>
    <w:rsid w:val="42A3119D"/>
    <w:rsid w:val="42EF6284"/>
    <w:rsid w:val="43085765"/>
    <w:rsid w:val="4311120E"/>
    <w:rsid w:val="43382772"/>
    <w:rsid w:val="436125E9"/>
    <w:rsid w:val="4366315A"/>
    <w:rsid w:val="438C4BC4"/>
    <w:rsid w:val="43C03369"/>
    <w:rsid w:val="43C91E50"/>
    <w:rsid w:val="43DA7FEE"/>
    <w:rsid w:val="440532AB"/>
    <w:rsid w:val="44382F71"/>
    <w:rsid w:val="444A2CAD"/>
    <w:rsid w:val="446115D1"/>
    <w:rsid w:val="44AE1A62"/>
    <w:rsid w:val="44C04765"/>
    <w:rsid w:val="452C0086"/>
    <w:rsid w:val="452E722C"/>
    <w:rsid w:val="45605633"/>
    <w:rsid w:val="456C3E29"/>
    <w:rsid w:val="45A315F0"/>
    <w:rsid w:val="45B953B2"/>
    <w:rsid w:val="45FA5263"/>
    <w:rsid w:val="46420936"/>
    <w:rsid w:val="46456F86"/>
    <w:rsid w:val="46793B1E"/>
    <w:rsid w:val="46851570"/>
    <w:rsid w:val="46A94C9E"/>
    <w:rsid w:val="472407E9"/>
    <w:rsid w:val="47372C35"/>
    <w:rsid w:val="47623D82"/>
    <w:rsid w:val="47805B8E"/>
    <w:rsid w:val="478A48A3"/>
    <w:rsid w:val="47BC49C7"/>
    <w:rsid w:val="47C30FA3"/>
    <w:rsid w:val="47E92D3B"/>
    <w:rsid w:val="47ED3CBC"/>
    <w:rsid w:val="48103D65"/>
    <w:rsid w:val="481423AF"/>
    <w:rsid w:val="488E5E34"/>
    <w:rsid w:val="488F02E4"/>
    <w:rsid w:val="48E70F87"/>
    <w:rsid w:val="48FE718B"/>
    <w:rsid w:val="49172519"/>
    <w:rsid w:val="491931DD"/>
    <w:rsid w:val="491A21ED"/>
    <w:rsid w:val="495D79F1"/>
    <w:rsid w:val="49743816"/>
    <w:rsid w:val="498C7290"/>
    <w:rsid w:val="49957340"/>
    <w:rsid w:val="49A20B9F"/>
    <w:rsid w:val="49F06669"/>
    <w:rsid w:val="49F20CC6"/>
    <w:rsid w:val="4A031138"/>
    <w:rsid w:val="4A04238F"/>
    <w:rsid w:val="4A0C378D"/>
    <w:rsid w:val="4A537429"/>
    <w:rsid w:val="4A5964DD"/>
    <w:rsid w:val="4A5B66ED"/>
    <w:rsid w:val="4A7F0ADF"/>
    <w:rsid w:val="4A866F35"/>
    <w:rsid w:val="4A9936A2"/>
    <w:rsid w:val="4A995C7E"/>
    <w:rsid w:val="4A9B56ED"/>
    <w:rsid w:val="4AA61F8B"/>
    <w:rsid w:val="4AC715A1"/>
    <w:rsid w:val="4ACF3ABF"/>
    <w:rsid w:val="4AD17F53"/>
    <w:rsid w:val="4AD44683"/>
    <w:rsid w:val="4B2042C9"/>
    <w:rsid w:val="4B523BF2"/>
    <w:rsid w:val="4B7F2A23"/>
    <w:rsid w:val="4B9767A4"/>
    <w:rsid w:val="4BC11CC6"/>
    <w:rsid w:val="4BEE3A62"/>
    <w:rsid w:val="4C045231"/>
    <w:rsid w:val="4C103680"/>
    <w:rsid w:val="4C187FDE"/>
    <w:rsid w:val="4C1A02F6"/>
    <w:rsid w:val="4C1C4107"/>
    <w:rsid w:val="4C541AA8"/>
    <w:rsid w:val="4C5432D9"/>
    <w:rsid w:val="4C7A183F"/>
    <w:rsid w:val="4C85706A"/>
    <w:rsid w:val="4C885E9F"/>
    <w:rsid w:val="4C8E5FF6"/>
    <w:rsid w:val="4CA57814"/>
    <w:rsid w:val="4CB070AF"/>
    <w:rsid w:val="4CB4456A"/>
    <w:rsid w:val="4CC71203"/>
    <w:rsid w:val="4CD70354"/>
    <w:rsid w:val="4D0F01CA"/>
    <w:rsid w:val="4D330863"/>
    <w:rsid w:val="4D3E6A52"/>
    <w:rsid w:val="4D833619"/>
    <w:rsid w:val="4D9C08E0"/>
    <w:rsid w:val="4DC85592"/>
    <w:rsid w:val="4DC974FC"/>
    <w:rsid w:val="4DCA2651"/>
    <w:rsid w:val="4DCE5F5F"/>
    <w:rsid w:val="4DEC33FC"/>
    <w:rsid w:val="4E063825"/>
    <w:rsid w:val="4E0A1EFC"/>
    <w:rsid w:val="4E455504"/>
    <w:rsid w:val="4E823055"/>
    <w:rsid w:val="4E8E5E30"/>
    <w:rsid w:val="4E98704C"/>
    <w:rsid w:val="4EB262C0"/>
    <w:rsid w:val="4EB33649"/>
    <w:rsid w:val="4EEF0743"/>
    <w:rsid w:val="4EFD4933"/>
    <w:rsid w:val="4F0F0F08"/>
    <w:rsid w:val="4F711134"/>
    <w:rsid w:val="4FB410AD"/>
    <w:rsid w:val="4FFF539C"/>
    <w:rsid w:val="5006529A"/>
    <w:rsid w:val="500C7AB9"/>
    <w:rsid w:val="50110D78"/>
    <w:rsid w:val="50231AA3"/>
    <w:rsid w:val="504A2ADD"/>
    <w:rsid w:val="50585DB8"/>
    <w:rsid w:val="50AA36E0"/>
    <w:rsid w:val="50EC3059"/>
    <w:rsid w:val="519611B1"/>
    <w:rsid w:val="51E222A5"/>
    <w:rsid w:val="52161328"/>
    <w:rsid w:val="522C54FE"/>
    <w:rsid w:val="523E3D8C"/>
    <w:rsid w:val="523E4EB3"/>
    <w:rsid w:val="524A4C06"/>
    <w:rsid w:val="525B5AA9"/>
    <w:rsid w:val="52972888"/>
    <w:rsid w:val="52AB2167"/>
    <w:rsid w:val="52CC3259"/>
    <w:rsid w:val="52EE16A6"/>
    <w:rsid w:val="52EE4555"/>
    <w:rsid w:val="52F52545"/>
    <w:rsid w:val="52FB2A75"/>
    <w:rsid w:val="530F7F4A"/>
    <w:rsid w:val="53580116"/>
    <w:rsid w:val="53716767"/>
    <w:rsid w:val="53765375"/>
    <w:rsid w:val="53A7323B"/>
    <w:rsid w:val="53B44984"/>
    <w:rsid w:val="53DE30B3"/>
    <w:rsid w:val="53F5446E"/>
    <w:rsid w:val="541115C4"/>
    <w:rsid w:val="54421842"/>
    <w:rsid w:val="544220DE"/>
    <w:rsid w:val="544B4AB3"/>
    <w:rsid w:val="54566DBB"/>
    <w:rsid w:val="546F7B53"/>
    <w:rsid w:val="54783BB9"/>
    <w:rsid w:val="54CA1B76"/>
    <w:rsid w:val="54E0593D"/>
    <w:rsid w:val="552222BA"/>
    <w:rsid w:val="55402FB8"/>
    <w:rsid w:val="555464AA"/>
    <w:rsid w:val="55943D4D"/>
    <w:rsid w:val="55AD79E6"/>
    <w:rsid w:val="55E52D00"/>
    <w:rsid w:val="55F20FAE"/>
    <w:rsid w:val="55F522DF"/>
    <w:rsid w:val="55FA65BB"/>
    <w:rsid w:val="560A616A"/>
    <w:rsid w:val="56300D4C"/>
    <w:rsid w:val="56364B97"/>
    <w:rsid w:val="565E5677"/>
    <w:rsid w:val="5699334B"/>
    <w:rsid w:val="56AB3033"/>
    <w:rsid w:val="56B819B5"/>
    <w:rsid w:val="56C90E1A"/>
    <w:rsid w:val="56D12FC4"/>
    <w:rsid w:val="56E224E3"/>
    <w:rsid w:val="56FC74AA"/>
    <w:rsid w:val="570539B2"/>
    <w:rsid w:val="5716253D"/>
    <w:rsid w:val="57226735"/>
    <w:rsid w:val="57284393"/>
    <w:rsid w:val="574700A2"/>
    <w:rsid w:val="574C4C89"/>
    <w:rsid w:val="5751145C"/>
    <w:rsid w:val="57584ED1"/>
    <w:rsid w:val="57591526"/>
    <w:rsid w:val="57644DBD"/>
    <w:rsid w:val="576A0C7E"/>
    <w:rsid w:val="57772E27"/>
    <w:rsid w:val="58027C9C"/>
    <w:rsid w:val="58421D79"/>
    <w:rsid w:val="584256A6"/>
    <w:rsid w:val="589318F2"/>
    <w:rsid w:val="58BE737C"/>
    <w:rsid w:val="58D06CE7"/>
    <w:rsid w:val="58D07D35"/>
    <w:rsid w:val="58EE7873"/>
    <w:rsid w:val="58EF2B3F"/>
    <w:rsid w:val="59300B63"/>
    <w:rsid w:val="59444D5E"/>
    <w:rsid w:val="598F33C5"/>
    <w:rsid w:val="5990466F"/>
    <w:rsid w:val="59B72375"/>
    <w:rsid w:val="59FF73FC"/>
    <w:rsid w:val="5A035A7E"/>
    <w:rsid w:val="5A041EA2"/>
    <w:rsid w:val="5A116406"/>
    <w:rsid w:val="5A194102"/>
    <w:rsid w:val="5A194CD7"/>
    <w:rsid w:val="5A1B5B01"/>
    <w:rsid w:val="5A342954"/>
    <w:rsid w:val="5A3E5B3B"/>
    <w:rsid w:val="5A4335AF"/>
    <w:rsid w:val="5A5859F5"/>
    <w:rsid w:val="5A754F5B"/>
    <w:rsid w:val="5A78262F"/>
    <w:rsid w:val="5A9B3C41"/>
    <w:rsid w:val="5ADB058E"/>
    <w:rsid w:val="5ADF702C"/>
    <w:rsid w:val="5AEF1D4A"/>
    <w:rsid w:val="5AF734FA"/>
    <w:rsid w:val="5B0C6127"/>
    <w:rsid w:val="5B1733CD"/>
    <w:rsid w:val="5B7244A9"/>
    <w:rsid w:val="5B7D0EE0"/>
    <w:rsid w:val="5B89037A"/>
    <w:rsid w:val="5B94420C"/>
    <w:rsid w:val="5B9F25CB"/>
    <w:rsid w:val="5B9F7E0E"/>
    <w:rsid w:val="5BE87EA3"/>
    <w:rsid w:val="5C1D46F3"/>
    <w:rsid w:val="5C244164"/>
    <w:rsid w:val="5C341852"/>
    <w:rsid w:val="5C8F56E5"/>
    <w:rsid w:val="5C9D5CFC"/>
    <w:rsid w:val="5CA33020"/>
    <w:rsid w:val="5CBC2899"/>
    <w:rsid w:val="5CCE4539"/>
    <w:rsid w:val="5D25594A"/>
    <w:rsid w:val="5D3C5AD3"/>
    <w:rsid w:val="5D46671A"/>
    <w:rsid w:val="5D7063F7"/>
    <w:rsid w:val="5D770DC5"/>
    <w:rsid w:val="5D8777FB"/>
    <w:rsid w:val="5D887595"/>
    <w:rsid w:val="5DA14140"/>
    <w:rsid w:val="5DA6621F"/>
    <w:rsid w:val="5DFE2B1C"/>
    <w:rsid w:val="5E134275"/>
    <w:rsid w:val="5E30337C"/>
    <w:rsid w:val="5E375833"/>
    <w:rsid w:val="5EE13545"/>
    <w:rsid w:val="5EE668B3"/>
    <w:rsid w:val="5EEB6F20"/>
    <w:rsid w:val="5F2010E3"/>
    <w:rsid w:val="5F2340BB"/>
    <w:rsid w:val="5F296758"/>
    <w:rsid w:val="5F405680"/>
    <w:rsid w:val="5F441643"/>
    <w:rsid w:val="5F581F25"/>
    <w:rsid w:val="5F79562D"/>
    <w:rsid w:val="5F817D60"/>
    <w:rsid w:val="5F945663"/>
    <w:rsid w:val="5FA40CA6"/>
    <w:rsid w:val="5FB45A42"/>
    <w:rsid w:val="5FBF4A2D"/>
    <w:rsid w:val="5FCA4D1B"/>
    <w:rsid w:val="5FDC09A4"/>
    <w:rsid w:val="5FF909F7"/>
    <w:rsid w:val="600A528D"/>
    <w:rsid w:val="602A462E"/>
    <w:rsid w:val="608A03D0"/>
    <w:rsid w:val="60A242F4"/>
    <w:rsid w:val="60AC1E47"/>
    <w:rsid w:val="60B04315"/>
    <w:rsid w:val="60DF2C33"/>
    <w:rsid w:val="610C47C1"/>
    <w:rsid w:val="61103B02"/>
    <w:rsid w:val="612D5A1E"/>
    <w:rsid w:val="61482F23"/>
    <w:rsid w:val="614B5418"/>
    <w:rsid w:val="61651C78"/>
    <w:rsid w:val="616A4376"/>
    <w:rsid w:val="6177071C"/>
    <w:rsid w:val="617A3343"/>
    <w:rsid w:val="618556EB"/>
    <w:rsid w:val="6194346A"/>
    <w:rsid w:val="61B9039E"/>
    <w:rsid w:val="61B96F1D"/>
    <w:rsid w:val="61BA6ED7"/>
    <w:rsid w:val="61C826FF"/>
    <w:rsid w:val="61E0487E"/>
    <w:rsid w:val="620E3238"/>
    <w:rsid w:val="62134A81"/>
    <w:rsid w:val="624219D4"/>
    <w:rsid w:val="624B31E8"/>
    <w:rsid w:val="62695DD8"/>
    <w:rsid w:val="629923ED"/>
    <w:rsid w:val="62AE6F88"/>
    <w:rsid w:val="62F47015"/>
    <w:rsid w:val="636E2F98"/>
    <w:rsid w:val="638B6E5F"/>
    <w:rsid w:val="6390441C"/>
    <w:rsid w:val="63943E17"/>
    <w:rsid w:val="6396372A"/>
    <w:rsid w:val="639A3CA1"/>
    <w:rsid w:val="639F50BF"/>
    <w:rsid w:val="63A0636E"/>
    <w:rsid w:val="63B42A2F"/>
    <w:rsid w:val="63E7707E"/>
    <w:rsid w:val="63ED54FF"/>
    <w:rsid w:val="64070F3B"/>
    <w:rsid w:val="640A4811"/>
    <w:rsid w:val="642C4BC8"/>
    <w:rsid w:val="64580460"/>
    <w:rsid w:val="6468704A"/>
    <w:rsid w:val="64700C9D"/>
    <w:rsid w:val="647C1DB2"/>
    <w:rsid w:val="64C15C8A"/>
    <w:rsid w:val="650B2B24"/>
    <w:rsid w:val="65164170"/>
    <w:rsid w:val="651E2D4A"/>
    <w:rsid w:val="652C38CB"/>
    <w:rsid w:val="657966D6"/>
    <w:rsid w:val="65C021EE"/>
    <w:rsid w:val="65ED42ED"/>
    <w:rsid w:val="664416B7"/>
    <w:rsid w:val="66575A26"/>
    <w:rsid w:val="66651F0E"/>
    <w:rsid w:val="668F32F7"/>
    <w:rsid w:val="66912E15"/>
    <w:rsid w:val="6694143E"/>
    <w:rsid w:val="66C51580"/>
    <w:rsid w:val="66CD1258"/>
    <w:rsid w:val="66E6621D"/>
    <w:rsid w:val="66E666F9"/>
    <w:rsid w:val="670B532E"/>
    <w:rsid w:val="67133448"/>
    <w:rsid w:val="677560D9"/>
    <w:rsid w:val="677769DB"/>
    <w:rsid w:val="67AD6512"/>
    <w:rsid w:val="67D82B17"/>
    <w:rsid w:val="67DB0582"/>
    <w:rsid w:val="684C2343"/>
    <w:rsid w:val="685013FC"/>
    <w:rsid w:val="6880754B"/>
    <w:rsid w:val="688478B7"/>
    <w:rsid w:val="689E521E"/>
    <w:rsid w:val="68BE1513"/>
    <w:rsid w:val="6945758D"/>
    <w:rsid w:val="695B08E4"/>
    <w:rsid w:val="697A7BC6"/>
    <w:rsid w:val="69A17E74"/>
    <w:rsid w:val="69A736F2"/>
    <w:rsid w:val="69B6261E"/>
    <w:rsid w:val="6A6148DC"/>
    <w:rsid w:val="6A7470A3"/>
    <w:rsid w:val="6A81338F"/>
    <w:rsid w:val="6AA8243F"/>
    <w:rsid w:val="6ABF0D2B"/>
    <w:rsid w:val="6AD41442"/>
    <w:rsid w:val="6AE06B15"/>
    <w:rsid w:val="6B082D6E"/>
    <w:rsid w:val="6B2B29E1"/>
    <w:rsid w:val="6B470CF0"/>
    <w:rsid w:val="6B6E5025"/>
    <w:rsid w:val="6BA06DB9"/>
    <w:rsid w:val="6BAB2B03"/>
    <w:rsid w:val="6BCB05E8"/>
    <w:rsid w:val="6BDF1690"/>
    <w:rsid w:val="6C1B3E73"/>
    <w:rsid w:val="6C2F3513"/>
    <w:rsid w:val="6C3B481B"/>
    <w:rsid w:val="6C4B6345"/>
    <w:rsid w:val="6CB6087E"/>
    <w:rsid w:val="6CC54BBE"/>
    <w:rsid w:val="6D005DA3"/>
    <w:rsid w:val="6D0E4BFD"/>
    <w:rsid w:val="6D830B7D"/>
    <w:rsid w:val="6DD14EB6"/>
    <w:rsid w:val="6E0779B6"/>
    <w:rsid w:val="6E44547D"/>
    <w:rsid w:val="6E5A3889"/>
    <w:rsid w:val="6E866A33"/>
    <w:rsid w:val="6E96509E"/>
    <w:rsid w:val="6E9817E3"/>
    <w:rsid w:val="6EDA2090"/>
    <w:rsid w:val="6EE21295"/>
    <w:rsid w:val="6EF709D3"/>
    <w:rsid w:val="6EFE5D0F"/>
    <w:rsid w:val="6F0B7C94"/>
    <w:rsid w:val="6F227EA1"/>
    <w:rsid w:val="6F2F4126"/>
    <w:rsid w:val="6F396F64"/>
    <w:rsid w:val="6F6E5034"/>
    <w:rsid w:val="6F814D09"/>
    <w:rsid w:val="6FAD2D94"/>
    <w:rsid w:val="6FBF1882"/>
    <w:rsid w:val="6FC512C7"/>
    <w:rsid w:val="6FDD529B"/>
    <w:rsid w:val="6FF72C1C"/>
    <w:rsid w:val="704B27CA"/>
    <w:rsid w:val="70517453"/>
    <w:rsid w:val="70763BDE"/>
    <w:rsid w:val="70DC17CE"/>
    <w:rsid w:val="70F23D09"/>
    <w:rsid w:val="710E48BB"/>
    <w:rsid w:val="71266898"/>
    <w:rsid w:val="712C426F"/>
    <w:rsid w:val="713D268B"/>
    <w:rsid w:val="71425FB3"/>
    <w:rsid w:val="714C327A"/>
    <w:rsid w:val="714E74C1"/>
    <w:rsid w:val="714F2E46"/>
    <w:rsid w:val="7151701B"/>
    <w:rsid w:val="71563A5E"/>
    <w:rsid w:val="716C7B6A"/>
    <w:rsid w:val="71813538"/>
    <w:rsid w:val="71B9071B"/>
    <w:rsid w:val="71BB1E19"/>
    <w:rsid w:val="71DA5B13"/>
    <w:rsid w:val="71E137F4"/>
    <w:rsid w:val="71E773D6"/>
    <w:rsid w:val="71F95B7C"/>
    <w:rsid w:val="7200098D"/>
    <w:rsid w:val="72243330"/>
    <w:rsid w:val="72282A45"/>
    <w:rsid w:val="7282152E"/>
    <w:rsid w:val="72D52FC8"/>
    <w:rsid w:val="72EA7412"/>
    <w:rsid w:val="72EF0EFD"/>
    <w:rsid w:val="730443D8"/>
    <w:rsid w:val="73246BE6"/>
    <w:rsid w:val="732F38B8"/>
    <w:rsid w:val="7342138D"/>
    <w:rsid w:val="739661C5"/>
    <w:rsid w:val="73A95FFE"/>
    <w:rsid w:val="73D46810"/>
    <w:rsid w:val="73E8476A"/>
    <w:rsid w:val="73EA5F16"/>
    <w:rsid w:val="73EA6467"/>
    <w:rsid w:val="73EE3736"/>
    <w:rsid w:val="740B0A69"/>
    <w:rsid w:val="741255AF"/>
    <w:rsid w:val="74263A6C"/>
    <w:rsid w:val="742D56D4"/>
    <w:rsid w:val="745D20F1"/>
    <w:rsid w:val="745E5F99"/>
    <w:rsid w:val="74785185"/>
    <w:rsid w:val="74A06C82"/>
    <w:rsid w:val="74B13AC0"/>
    <w:rsid w:val="74D71A77"/>
    <w:rsid w:val="74E41E3F"/>
    <w:rsid w:val="75006A13"/>
    <w:rsid w:val="75143C10"/>
    <w:rsid w:val="753C2ACE"/>
    <w:rsid w:val="753E6CEC"/>
    <w:rsid w:val="7553542F"/>
    <w:rsid w:val="75560F56"/>
    <w:rsid w:val="755D28D9"/>
    <w:rsid w:val="756C2266"/>
    <w:rsid w:val="7577343F"/>
    <w:rsid w:val="75B52CAC"/>
    <w:rsid w:val="75E2338B"/>
    <w:rsid w:val="75ED0ABD"/>
    <w:rsid w:val="75F87FD5"/>
    <w:rsid w:val="76181B85"/>
    <w:rsid w:val="763253C4"/>
    <w:rsid w:val="764D7283"/>
    <w:rsid w:val="765760D0"/>
    <w:rsid w:val="76592AF4"/>
    <w:rsid w:val="767C6DED"/>
    <w:rsid w:val="76877477"/>
    <w:rsid w:val="76C87996"/>
    <w:rsid w:val="76CF1651"/>
    <w:rsid w:val="76D0766A"/>
    <w:rsid w:val="76EB4EFF"/>
    <w:rsid w:val="77147463"/>
    <w:rsid w:val="77266ECD"/>
    <w:rsid w:val="772E60A5"/>
    <w:rsid w:val="772F49B7"/>
    <w:rsid w:val="775B3643"/>
    <w:rsid w:val="7775620B"/>
    <w:rsid w:val="777E15A5"/>
    <w:rsid w:val="777E76EA"/>
    <w:rsid w:val="77E6256B"/>
    <w:rsid w:val="77E7796C"/>
    <w:rsid w:val="780178D3"/>
    <w:rsid w:val="78270079"/>
    <w:rsid w:val="785F2C67"/>
    <w:rsid w:val="789B03CD"/>
    <w:rsid w:val="78CE1C5F"/>
    <w:rsid w:val="78D53072"/>
    <w:rsid w:val="78FA33E7"/>
    <w:rsid w:val="790229FE"/>
    <w:rsid w:val="79071BED"/>
    <w:rsid w:val="79134DAF"/>
    <w:rsid w:val="791A2350"/>
    <w:rsid w:val="792D18D9"/>
    <w:rsid w:val="792D736C"/>
    <w:rsid w:val="79405A73"/>
    <w:rsid w:val="794B7229"/>
    <w:rsid w:val="795C334F"/>
    <w:rsid w:val="798B13E2"/>
    <w:rsid w:val="798C137C"/>
    <w:rsid w:val="79997901"/>
    <w:rsid w:val="79BA797F"/>
    <w:rsid w:val="79CA3393"/>
    <w:rsid w:val="79D17C84"/>
    <w:rsid w:val="79D77B27"/>
    <w:rsid w:val="79DB0863"/>
    <w:rsid w:val="79E2530B"/>
    <w:rsid w:val="79F05485"/>
    <w:rsid w:val="79FC3BB6"/>
    <w:rsid w:val="7A184A9C"/>
    <w:rsid w:val="7A3129A1"/>
    <w:rsid w:val="7A376B29"/>
    <w:rsid w:val="7A423EEC"/>
    <w:rsid w:val="7A703649"/>
    <w:rsid w:val="7A804A05"/>
    <w:rsid w:val="7AB65128"/>
    <w:rsid w:val="7AB843EC"/>
    <w:rsid w:val="7AC05B99"/>
    <w:rsid w:val="7ADA0531"/>
    <w:rsid w:val="7B1B4CE1"/>
    <w:rsid w:val="7B2E7ECD"/>
    <w:rsid w:val="7BA25186"/>
    <w:rsid w:val="7BAC3172"/>
    <w:rsid w:val="7BCA6449"/>
    <w:rsid w:val="7BEA37FA"/>
    <w:rsid w:val="7C0569B5"/>
    <w:rsid w:val="7C14258F"/>
    <w:rsid w:val="7C4C37A1"/>
    <w:rsid w:val="7C664B17"/>
    <w:rsid w:val="7C6C743E"/>
    <w:rsid w:val="7C736A5E"/>
    <w:rsid w:val="7C9A5A13"/>
    <w:rsid w:val="7CA70B1D"/>
    <w:rsid w:val="7CDA70F7"/>
    <w:rsid w:val="7CE43668"/>
    <w:rsid w:val="7CE4418A"/>
    <w:rsid w:val="7CF91FCA"/>
    <w:rsid w:val="7D4420F2"/>
    <w:rsid w:val="7D481598"/>
    <w:rsid w:val="7D49303B"/>
    <w:rsid w:val="7D5A704A"/>
    <w:rsid w:val="7DAA59ED"/>
    <w:rsid w:val="7DE91210"/>
    <w:rsid w:val="7E210829"/>
    <w:rsid w:val="7E3D57DB"/>
    <w:rsid w:val="7E4135F5"/>
    <w:rsid w:val="7E5D6EFF"/>
    <w:rsid w:val="7E6476FC"/>
    <w:rsid w:val="7E6C6BD5"/>
    <w:rsid w:val="7E7E7292"/>
    <w:rsid w:val="7E9D7FC8"/>
    <w:rsid w:val="7EB71685"/>
    <w:rsid w:val="7EC457AA"/>
    <w:rsid w:val="7EC520CE"/>
    <w:rsid w:val="7ECD592F"/>
    <w:rsid w:val="7EEC24B0"/>
    <w:rsid w:val="7EF40344"/>
    <w:rsid w:val="7EF85335"/>
    <w:rsid w:val="7EFC617C"/>
    <w:rsid w:val="7F197E6E"/>
    <w:rsid w:val="7F4133F6"/>
    <w:rsid w:val="7F8015A7"/>
    <w:rsid w:val="7F834860"/>
    <w:rsid w:val="7F9B1826"/>
    <w:rsid w:val="7FA41788"/>
    <w:rsid w:val="7FC91E5B"/>
    <w:rsid w:val="7FE17645"/>
    <w:rsid w:val="7FEC3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8"/>
    <w:autoRedefine/>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autoRedefine/>
    <w:qFormat/>
    <w:uiPriority w:val="0"/>
    <w:pPr>
      <w:keepNext/>
      <w:keepLines/>
      <w:numPr>
        <w:ilvl w:val="4"/>
        <w:numId w:val="1"/>
      </w:numPr>
      <w:spacing w:before="280" w:after="290" w:line="372" w:lineRule="auto"/>
      <w:outlineLvl w:val="4"/>
    </w:pPr>
    <w:rPr>
      <w:b/>
      <w:bCs/>
      <w:sz w:val="28"/>
      <w:szCs w:val="28"/>
    </w:rPr>
  </w:style>
  <w:style w:type="character" w:default="1" w:styleId="33">
    <w:name w:val="Default Paragraph Font"/>
    <w:autoRedefine/>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line="360" w:lineRule="auto"/>
    </w:pPr>
    <w:rPr>
      <w:szCs w:val="20"/>
    </w:rPr>
  </w:style>
  <w:style w:type="paragraph" w:styleId="3">
    <w:name w:val="toc 5"/>
    <w:basedOn w:val="1"/>
    <w:next w:val="1"/>
    <w:autoRedefine/>
    <w:qFormat/>
    <w:uiPriority w:val="0"/>
    <w:pPr>
      <w:ind w:left="1680"/>
    </w:pPr>
  </w:style>
  <w:style w:type="paragraph" w:styleId="8">
    <w:name w:val="Normal Indent"/>
    <w:basedOn w:val="1"/>
    <w:autoRedefine/>
    <w:qFormat/>
    <w:uiPriority w:val="0"/>
    <w:pPr>
      <w:ind w:firstLine="420"/>
    </w:pPr>
    <w:rPr>
      <w:szCs w:val="20"/>
    </w:rPr>
  </w:style>
  <w:style w:type="paragraph" w:styleId="10">
    <w:name w:val="caption"/>
    <w:basedOn w:val="1"/>
    <w:next w:val="1"/>
    <w:autoRedefine/>
    <w:qFormat/>
    <w:uiPriority w:val="0"/>
    <w:rPr>
      <w:rFonts w:ascii="Arial" w:hAnsi="Arial" w:eastAsia="黑体" w:cs="Arial"/>
      <w:sz w:val="20"/>
      <w:szCs w:val="20"/>
    </w:rPr>
  </w:style>
  <w:style w:type="paragraph" w:styleId="11">
    <w:name w:val="Document Map"/>
    <w:basedOn w:val="1"/>
    <w:link w:val="44"/>
    <w:autoRedefine/>
    <w:qFormat/>
    <w:uiPriority w:val="0"/>
    <w:rPr>
      <w:rFonts w:ascii="宋体"/>
      <w:sz w:val="24"/>
    </w:rPr>
  </w:style>
  <w:style w:type="paragraph" w:styleId="12">
    <w:name w:val="annotation text"/>
    <w:basedOn w:val="1"/>
    <w:link w:val="42"/>
    <w:autoRedefine/>
    <w:qFormat/>
    <w:uiPriority w:val="99"/>
    <w:pPr>
      <w:widowControl/>
      <w:jc w:val="left"/>
    </w:pPr>
    <w:rPr>
      <w:kern w:val="0"/>
      <w:szCs w:val="20"/>
    </w:rPr>
  </w:style>
  <w:style w:type="paragraph" w:styleId="13">
    <w:name w:val="Body Text 3"/>
    <w:basedOn w:val="1"/>
    <w:autoRedefine/>
    <w:qFormat/>
    <w:uiPriority w:val="0"/>
    <w:pPr>
      <w:spacing w:after="120"/>
    </w:pPr>
    <w:rPr>
      <w:sz w:val="16"/>
      <w:szCs w:val="16"/>
    </w:rPr>
  </w:style>
  <w:style w:type="paragraph" w:styleId="14">
    <w:name w:val="Body Text Indent"/>
    <w:basedOn w:val="1"/>
    <w:autoRedefine/>
    <w:qFormat/>
    <w:uiPriority w:val="0"/>
    <w:pPr>
      <w:spacing w:line="360" w:lineRule="auto"/>
      <w:ind w:left="608" w:hanging="608"/>
    </w:pPr>
    <w:rPr>
      <w:rFonts w:ascii="宋体"/>
      <w:sz w:val="28"/>
    </w:rPr>
  </w:style>
  <w:style w:type="paragraph" w:styleId="15">
    <w:name w:val="toc 3"/>
    <w:basedOn w:val="1"/>
    <w:next w:val="1"/>
    <w:autoRedefine/>
    <w:qFormat/>
    <w:uiPriority w:val="39"/>
    <w:pPr>
      <w:ind w:left="840" w:leftChars="400"/>
    </w:pPr>
  </w:style>
  <w:style w:type="paragraph" w:styleId="16">
    <w:name w:val="Plain Text"/>
    <w:basedOn w:val="1"/>
    <w:next w:val="1"/>
    <w:link w:val="39"/>
    <w:autoRedefine/>
    <w:qFormat/>
    <w:uiPriority w:val="0"/>
    <w:rPr>
      <w:rFonts w:ascii="宋体" w:hAnsi="Courier New" w:cs="Courier New"/>
      <w:szCs w:val="21"/>
    </w:rPr>
  </w:style>
  <w:style w:type="paragraph" w:styleId="17">
    <w:name w:val="Date"/>
    <w:basedOn w:val="1"/>
    <w:next w:val="1"/>
    <w:autoRedefine/>
    <w:qFormat/>
    <w:uiPriority w:val="0"/>
    <w:pPr>
      <w:autoSpaceDE w:val="0"/>
      <w:autoSpaceDN w:val="0"/>
      <w:adjustRightInd w:val="0"/>
      <w:textAlignment w:val="baseline"/>
    </w:pPr>
    <w:rPr>
      <w:rFonts w:ascii="宋体"/>
      <w:sz w:val="28"/>
    </w:rPr>
  </w:style>
  <w:style w:type="paragraph" w:styleId="18">
    <w:name w:val="Balloon Text"/>
    <w:basedOn w:val="1"/>
    <w:link w:val="43"/>
    <w:autoRedefine/>
    <w:qFormat/>
    <w:uiPriority w:val="0"/>
    <w:rPr>
      <w:sz w:val="18"/>
      <w:szCs w:val="18"/>
    </w:rPr>
  </w:style>
  <w:style w:type="paragraph" w:styleId="19">
    <w:name w:val="footer"/>
    <w:basedOn w:val="1"/>
    <w:autoRedefine/>
    <w:qFormat/>
    <w:uiPriority w:val="0"/>
    <w:pPr>
      <w:tabs>
        <w:tab w:val="center" w:pos="4153"/>
        <w:tab w:val="right" w:pos="8306"/>
      </w:tabs>
      <w:snapToGrid w:val="0"/>
      <w:jc w:val="left"/>
    </w:pPr>
    <w:rPr>
      <w:sz w:val="18"/>
      <w:szCs w:val="18"/>
    </w:rPr>
  </w:style>
  <w:style w:type="paragraph" w:styleId="2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39"/>
    <w:pPr>
      <w:tabs>
        <w:tab w:val="right" w:leader="dot" w:pos="9540"/>
      </w:tabs>
      <w:spacing w:line="360" w:lineRule="auto"/>
      <w:ind w:right="430" w:rightChars="205"/>
    </w:pPr>
    <w:rPr>
      <w:rFonts w:ascii="宋体" w:hAnsi="宋体"/>
      <w:b/>
      <w:kern w:val="0"/>
      <w:sz w:val="28"/>
      <w:szCs w:val="28"/>
    </w:rPr>
  </w:style>
  <w:style w:type="paragraph" w:styleId="22">
    <w:name w:val="index heading"/>
    <w:basedOn w:val="1"/>
    <w:next w:val="23"/>
    <w:autoRedefine/>
    <w:semiHidden/>
    <w:qFormat/>
    <w:uiPriority w:val="0"/>
    <w:rPr>
      <w:szCs w:val="20"/>
    </w:rPr>
  </w:style>
  <w:style w:type="paragraph" w:styleId="23">
    <w:name w:val="index 1"/>
    <w:basedOn w:val="1"/>
    <w:next w:val="1"/>
    <w:autoRedefine/>
    <w:semiHidden/>
    <w:qFormat/>
    <w:uiPriority w:val="0"/>
  </w:style>
  <w:style w:type="paragraph" w:styleId="24">
    <w:name w:val="toc 6"/>
    <w:basedOn w:val="1"/>
    <w:next w:val="1"/>
    <w:autoRedefine/>
    <w:qFormat/>
    <w:uiPriority w:val="99"/>
    <w:pPr>
      <w:ind w:left="2100" w:leftChars="1000"/>
    </w:pPr>
    <w:rPr>
      <w:rFonts w:ascii="Calibri" w:hAnsi="Calibri"/>
      <w:szCs w:val="22"/>
    </w:rPr>
  </w:style>
  <w:style w:type="paragraph" w:styleId="25">
    <w:name w:val="Body Text Indent 3"/>
    <w:basedOn w:val="1"/>
    <w:autoRedefine/>
    <w:qFormat/>
    <w:uiPriority w:val="0"/>
    <w:pPr>
      <w:spacing w:line="360" w:lineRule="auto"/>
      <w:ind w:firstLine="420" w:firstLineChars="200"/>
    </w:pPr>
    <w:rPr>
      <w:szCs w:val="20"/>
    </w:rPr>
  </w:style>
  <w:style w:type="paragraph" w:styleId="26">
    <w:name w:val="toc 2"/>
    <w:basedOn w:val="1"/>
    <w:next w:val="1"/>
    <w:autoRedefine/>
    <w:qFormat/>
    <w:uiPriority w:val="39"/>
    <w:pPr>
      <w:ind w:left="420" w:leftChars="200"/>
    </w:pPr>
  </w:style>
  <w:style w:type="paragraph" w:styleId="27">
    <w:name w:val="Normal (Web)"/>
    <w:basedOn w:val="1"/>
    <w:autoRedefine/>
    <w:qFormat/>
    <w:uiPriority w:val="0"/>
    <w:pPr>
      <w:spacing w:before="100" w:beforeAutospacing="1" w:after="100" w:afterAutospacing="1"/>
      <w:jc w:val="left"/>
    </w:pPr>
    <w:rPr>
      <w:kern w:val="0"/>
      <w:sz w:val="24"/>
    </w:rPr>
  </w:style>
  <w:style w:type="paragraph" w:styleId="28">
    <w:name w:val="annotation subject"/>
    <w:basedOn w:val="12"/>
    <w:next w:val="12"/>
    <w:link w:val="46"/>
    <w:autoRedefine/>
    <w:qFormat/>
    <w:uiPriority w:val="0"/>
    <w:pPr>
      <w:widowControl w:val="0"/>
    </w:pPr>
    <w:rPr>
      <w:b/>
      <w:bCs/>
      <w:kern w:val="2"/>
      <w:szCs w:val="24"/>
    </w:rPr>
  </w:style>
  <w:style w:type="paragraph" w:styleId="29">
    <w:name w:val="Body Text First Indent"/>
    <w:basedOn w:val="2"/>
    <w:next w:val="1"/>
    <w:autoRedefine/>
    <w:qFormat/>
    <w:uiPriority w:val="0"/>
    <w:pPr>
      <w:spacing w:after="120" w:line="560" w:lineRule="exact"/>
      <w:ind w:firstLine="420" w:firstLineChars="200"/>
    </w:pPr>
  </w:style>
  <w:style w:type="paragraph" w:styleId="30">
    <w:name w:val="Body Text First Indent 2"/>
    <w:basedOn w:val="14"/>
    <w:autoRedefine/>
    <w:qFormat/>
    <w:uiPriority w:val="0"/>
    <w:pPr>
      <w:snapToGrid w:val="0"/>
      <w:spacing w:after="120"/>
      <w:ind w:left="420" w:firstLine="420" w:firstLineChars="200"/>
    </w:pPr>
    <w:rPr>
      <w:rFonts w:ascii="Tahoma" w:hAnsi="Tahoma"/>
    </w:rPr>
  </w:style>
  <w:style w:type="table" w:styleId="32">
    <w:name w:val="Table Grid"/>
    <w:basedOn w:val="3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autoRedefine/>
    <w:qFormat/>
    <w:uiPriority w:val="0"/>
    <w:rPr>
      <w:b/>
    </w:rPr>
  </w:style>
  <w:style w:type="character" w:styleId="35">
    <w:name w:val="page number"/>
    <w:basedOn w:val="33"/>
    <w:autoRedefine/>
    <w:qFormat/>
    <w:uiPriority w:val="0"/>
  </w:style>
  <w:style w:type="character" w:styleId="36">
    <w:name w:val="Hyperlink"/>
    <w:autoRedefine/>
    <w:qFormat/>
    <w:uiPriority w:val="99"/>
    <w:rPr>
      <w:color w:val="0000FF"/>
      <w:u w:val="single"/>
    </w:rPr>
  </w:style>
  <w:style w:type="character" w:styleId="37">
    <w:name w:val="annotation reference"/>
    <w:autoRedefine/>
    <w:qFormat/>
    <w:uiPriority w:val="99"/>
    <w:rPr>
      <w:sz w:val="21"/>
      <w:szCs w:val="21"/>
    </w:rPr>
  </w:style>
  <w:style w:type="character" w:customStyle="1" w:styleId="38">
    <w:name w:val="font11"/>
    <w:autoRedefine/>
    <w:qFormat/>
    <w:uiPriority w:val="0"/>
    <w:rPr>
      <w:rFonts w:hint="eastAsia" w:ascii="宋体" w:hAnsi="宋体" w:eastAsia="宋体" w:cs="宋体"/>
      <w:b/>
      <w:color w:val="000000"/>
      <w:sz w:val="24"/>
      <w:szCs w:val="24"/>
      <w:u w:val="none"/>
    </w:rPr>
  </w:style>
  <w:style w:type="character" w:customStyle="1" w:styleId="39">
    <w:name w:val="纯文本 字符"/>
    <w:link w:val="16"/>
    <w:autoRedefine/>
    <w:qFormat/>
    <w:uiPriority w:val="0"/>
    <w:rPr>
      <w:rFonts w:ascii="宋体" w:hAnsi="Courier New" w:cs="Courier New"/>
      <w:kern w:val="2"/>
      <w:sz w:val="21"/>
      <w:szCs w:val="21"/>
    </w:rPr>
  </w:style>
  <w:style w:type="character" w:customStyle="1" w:styleId="40">
    <w:name w:val="generalinfo-address-text"/>
    <w:basedOn w:val="33"/>
    <w:autoRedefine/>
    <w:qFormat/>
    <w:uiPriority w:val="0"/>
  </w:style>
  <w:style w:type="character" w:customStyle="1" w:styleId="41">
    <w:name w:val="NormalCharacter"/>
    <w:autoRedefine/>
    <w:semiHidden/>
    <w:qFormat/>
    <w:uiPriority w:val="0"/>
  </w:style>
  <w:style w:type="character" w:customStyle="1" w:styleId="42">
    <w:name w:val="批注文字 字符"/>
    <w:link w:val="12"/>
    <w:autoRedefine/>
    <w:qFormat/>
    <w:uiPriority w:val="99"/>
    <w:rPr>
      <w:sz w:val="21"/>
    </w:rPr>
  </w:style>
  <w:style w:type="character" w:customStyle="1" w:styleId="43">
    <w:name w:val="批注框文本 字符"/>
    <w:link w:val="18"/>
    <w:autoRedefine/>
    <w:qFormat/>
    <w:uiPriority w:val="0"/>
    <w:rPr>
      <w:kern w:val="2"/>
      <w:sz w:val="18"/>
      <w:szCs w:val="18"/>
    </w:rPr>
  </w:style>
  <w:style w:type="character" w:customStyle="1" w:styleId="44">
    <w:name w:val="文档结构图 字符"/>
    <w:link w:val="11"/>
    <w:autoRedefine/>
    <w:qFormat/>
    <w:uiPriority w:val="0"/>
    <w:rPr>
      <w:rFonts w:ascii="宋体"/>
      <w:kern w:val="2"/>
      <w:sz w:val="24"/>
      <w:szCs w:val="24"/>
    </w:rPr>
  </w:style>
  <w:style w:type="character" w:customStyle="1" w:styleId="45">
    <w:name w:val="font41"/>
    <w:autoRedefine/>
    <w:qFormat/>
    <w:uiPriority w:val="0"/>
    <w:rPr>
      <w:rFonts w:hint="eastAsia" w:ascii="宋体" w:hAnsi="宋体" w:eastAsia="宋体" w:cs="宋体"/>
      <w:color w:val="1F497D"/>
      <w:sz w:val="24"/>
      <w:szCs w:val="24"/>
      <w:u w:val="none"/>
    </w:rPr>
  </w:style>
  <w:style w:type="character" w:customStyle="1" w:styleId="46">
    <w:name w:val="批注主题 字符"/>
    <w:link w:val="28"/>
    <w:autoRedefine/>
    <w:qFormat/>
    <w:uiPriority w:val="0"/>
    <w:rPr>
      <w:b/>
      <w:bCs/>
      <w:kern w:val="2"/>
      <w:sz w:val="21"/>
      <w:szCs w:val="24"/>
    </w:rPr>
  </w:style>
  <w:style w:type="character" w:customStyle="1" w:styleId="47">
    <w:name w:val="font01"/>
    <w:autoRedefine/>
    <w:qFormat/>
    <w:uiPriority w:val="0"/>
    <w:rPr>
      <w:rFonts w:hint="default" w:ascii="Times New Roman" w:hAnsi="Times New Roman" w:cs="Times New Roman"/>
      <w:color w:val="000000"/>
      <w:sz w:val="20"/>
      <w:szCs w:val="20"/>
      <w:u w:val="none"/>
    </w:rPr>
  </w:style>
  <w:style w:type="paragraph" w:customStyle="1" w:styleId="48">
    <w:name w:val="正文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Table Paragraph"/>
    <w:basedOn w:val="1"/>
    <w:autoRedefine/>
    <w:qFormat/>
    <w:uiPriority w:val="1"/>
  </w:style>
  <w:style w:type="paragraph" w:customStyle="1" w:styleId="50">
    <w:name w:val="题注5"/>
    <w:basedOn w:val="1"/>
    <w:next w:val="10"/>
    <w:autoRedefine/>
    <w:qFormat/>
    <w:uiPriority w:val="0"/>
    <w:pPr>
      <w:jc w:val="center"/>
    </w:pPr>
    <w:rPr>
      <w:b/>
      <w:color w:val="000000"/>
      <w:sz w:val="24"/>
      <w:szCs w:val="21"/>
    </w:rPr>
  </w:style>
  <w:style w:type="paragraph" w:customStyle="1" w:styleId="51">
    <w:name w:val="列出段落2"/>
    <w:basedOn w:val="1"/>
    <w:autoRedefine/>
    <w:qFormat/>
    <w:uiPriority w:val="34"/>
    <w:pPr>
      <w:jc w:val="left"/>
    </w:pPr>
  </w:style>
  <w:style w:type="paragraph" w:customStyle="1" w:styleId="52">
    <w:name w:val="文档正文"/>
    <w:basedOn w:val="1"/>
    <w:autoRedefine/>
    <w:qFormat/>
    <w:uiPriority w:val="0"/>
    <w:rPr>
      <w:rFonts w:ascii="Arial" w:hAnsi="Arial" w:cs="Arial"/>
      <w:bCs/>
      <w:sz w:val="24"/>
    </w:rPr>
  </w:style>
  <w:style w:type="paragraph" w:customStyle="1" w:styleId="53">
    <w:name w:val="Char Char Char Char"/>
    <w:basedOn w:val="1"/>
    <w:autoRedefine/>
    <w:qFormat/>
    <w:uiPriority w:val="0"/>
    <w:rPr>
      <w:rFonts w:ascii="Tahoma" w:hAnsi="Tahoma"/>
      <w:sz w:val="24"/>
    </w:rPr>
  </w:style>
  <w:style w:type="paragraph" w:customStyle="1" w:styleId="54">
    <w:name w:val="列表段落1"/>
    <w:basedOn w:val="1"/>
    <w:autoRedefine/>
    <w:qFormat/>
    <w:uiPriority w:val="34"/>
    <w:pPr>
      <w:ind w:firstLine="420" w:firstLineChars="200"/>
    </w:pPr>
  </w:style>
  <w:style w:type="paragraph" w:customStyle="1" w:styleId="55">
    <w:name w:val="题注4"/>
    <w:basedOn w:val="1"/>
    <w:next w:val="10"/>
    <w:autoRedefine/>
    <w:qFormat/>
    <w:uiPriority w:val="0"/>
    <w:pPr>
      <w:ind w:left="-132" w:leftChars="-64" w:right="-105" w:rightChars="-50" w:hanging="2"/>
      <w:jc w:val="center"/>
    </w:pPr>
    <w:rPr>
      <w:b/>
      <w:color w:val="FF0000"/>
      <w:szCs w:val="21"/>
      <w:lang w:val="en-GB"/>
    </w:rPr>
  </w:style>
  <w:style w:type="paragraph" w:customStyle="1" w:styleId="56">
    <w:name w:val="Figure"/>
    <w:basedOn w:val="1"/>
    <w:next w:val="1"/>
    <w:autoRedefine/>
    <w:qFormat/>
    <w:uiPriority w:val="0"/>
    <w:pPr>
      <w:keepNext/>
      <w:keepLines/>
      <w:widowControl/>
      <w:jc w:val="center"/>
    </w:pPr>
    <w:rPr>
      <w:rFonts w:ascii="Calibri" w:hAnsi="Calibri" w:cs="Calibri"/>
      <w:kern w:val="0"/>
      <w:sz w:val="24"/>
      <w:lang w:eastAsia="en-US" w:bidi="en-US"/>
    </w:rPr>
  </w:style>
  <w:style w:type="paragraph" w:customStyle="1" w:styleId="57">
    <w:name w:val="普通(网站)1"/>
    <w:basedOn w:val="1"/>
    <w:autoRedefine/>
    <w:qFormat/>
    <w:uiPriority w:val="0"/>
    <w:pPr>
      <w:widowControl/>
      <w:spacing w:beforeAutospacing="1" w:afterAutospacing="1"/>
      <w:jc w:val="left"/>
    </w:pPr>
    <w:rPr>
      <w:rFonts w:hAnsi="宋体" w:cs="宋体"/>
      <w:sz w:val="24"/>
    </w:rPr>
  </w:style>
  <w:style w:type="paragraph" w:customStyle="1" w:styleId="58">
    <w:name w:val="样式 首行缩进:  0 字符"/>
    <w:basedOn w:val="1"/>
    <w:autoRedefine/>
    <w:qFormat/>
    <w:uiPriority w:val="0"/>
  </w:style>
  <w:style w:type="paragraph" w:customStyle="1" w:styleId="59">
    <w:name w:val="标题1"/>
    <w:basedOn w:val="1"/>
    <w:autoRedefine/>
    <w:qFormat/>
    <w:uiPriority w:val="0"/>
    <w:pPr>
      <w:widowControl/>
      <w:spacing w:line="360" w:lineRule="auto"/>
      <w:jc w:val="center"/>
    </w:pPr>
    <w:rPr>
      <w:rFonts w:ascii="黑体" w:eastAsia="黑体"/>
      <w:b/>
      <w:kern w:val="0"/>
      <w:sz w:val="44"/>
      <w:szCs w:val="20"/>
    </w:rPr>
  </w:style>
  <w:style w:type="paragraph" w:customStyle="1" w:styleId="60">
    <w:name w:val="正文加粗"/>
    <w:basedOn w:val="1"/>
    <w:autoRedefine/>
    <w:qFormat/>
    <w:uiPriority w:val="0"/>
    <w:pPr>
      <w:spacing w:line="360" w:lineRule="auto"/>
      <w:ind w:firstLine="200" w:firstLineChars="200"/>
    </w:pPr>
    <w:rPr>
      <w:rFonts w:ascii="Arial" w:hAnsi="Arial"/>
      <w:b/>
      <w:sz w:val="24"/>
    </w:rPr>
  </w:style>
  <w:style w:type="paragraph" w:customStyle="1" w:styleId="61">
    <w:name w:val="正文（缩进）"/>
    <w:basedOn w:val="1"/>
    <w:autoRedefine/>
    <w:qFormat/>
    <w:uiPriority w:val="0"/>
    <w:pPr>
      <w:spacing w:beforeLines="50" w:afterLines="50"/>
      <w:ind w:firstLine="480" w:firstLineChars="200"/>
    </w:pPr>
  </w:style>
  <w:style w:type="paragraph" w:customStyle="1" w:styleId="62">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63">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4">
    <w:name w:val="彩色列表1"/>
    <w:basedOn w:val="1"/>
    <w:autoRedefine/>
    <w:qFormat/>
    <w:uiPriority w:val="34"/>
    <w:pPr>
      <w:ind w:firstLine="420" w:firstLineChars="200"/>
    </w:pPr>
  </w:style>
  <w:style w:type="paragraph" w:customStyle="1" w:styleId="65">
    <w:name w:val="WPSOffice手动目录 1"/>
    <w:autoRedefine/>
    <w:qFormat/>
    <w:uiPriority w:val="0"/>
    <w:rPr>
      <w:rFonts w:ascii="Times New Roman" w:hAnsi="Times New Roman" w:eastAsia="宋体" w:cs="Times New Roman"/>
      <w:lang w:val="en-US" w:eastAsia="zh-CN" w:bidi="ar-SA"/>
    </w:rPr>
  </w:style>
  <w:style w:type="paragraph" w:customStyle="1" w:styleId="66">
    <w:name w:val="预审2"/>
    <w:basedOn w:val="1"/>
    <w:autoRedefine/>
    <w:qFormat/>
    <w:uiPriority w:val="0"/>
    <w:pPr>
      <w:widowControl/>
      <w:adjustRightInd w:val="0"/>
      <w:snapToGrid w:val="0"/>
      <w:spacing w:beforeLines="50" w:afterLines="100" w:line="400" w:lineRule="exact"/>
      <w:ind w:left="721" w:hanging="721" w:hangingChars="200"/>
      <w:jc w:val="center"/>
    </w:pPr>
    <w:rPr>
      <w:rFonts w:ascii="宋体" w:hAnsi="宋体"/>
      <w:b/>
      <w:bCs/>
      <w:kern w:val="0"/>
      <w:sz w:val="36"/>
      <w:szCs w:val="36"/>
    </w:rPr>
  </w:style>
  <w:style w:type="paragraph" w:customStyle="1" w:styleId="67">
    <w:name w:val="索引 11"/>
    <w:basedOn w:val="1"/>
    <w:next w:val="1"/>
    <w:autoRedefine/>
    <w:qFormat/>
    <w:uiPriority w:val="0"/>
    <w:pPr>
      <w:jc w:val="center"/>
    </w:pPr>
  </w:style>
  <w:style w:type="paragraph" w:customStyle="1" w:styleId="68">
    <w:name w:val="列出段落1"/>
    <w:basedOn w:val="1"/>
    <w:autoRedefine/>
    <w:qFormat/>
    <w:uiPriority w:val="34"/>
    <w:pPr>
      <w:ind w:firstLine="420" w:firstLineChars="200"/>
    </w:pPr>
  </w:style>
  <w:style w:type="paragraph" w:customStyle="1" w:styleId="6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列出段落11"/>
    <w:basedOn w:val="1"/>
    <w:autoRedefine/>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71">
    <w:name w:val="正文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p0"/>
    <w:basedOn w:val="1"/>
    <w:autoRedefine/>
    <w:qFormat/>
    <w:uiPriority w:val="0"/>
    <w:rPr>
      <w:szCs w:val="21"/>
    </w:rPr>
  </w:style>
  <w:style w:type="paragraph" w:customStyle="1" w:styleId="73">
    <w:name w:val="表格文字"/>
    <w:basedOn w:val="1"/>
    <w:next w:val="2"/>
    <w:autoRedefine/>
    <w:qFormat/>
    <w:uiPriority w:val="0"/>
    <w:pPr>
      <w:spacing w:before="25" w:after="25"/>
      <w:jc w:val="left"/>
    </w:pPr>
    <w:rPr>
      <w:bCs/>
      <w:spacing w:val="10"/>
      <w:kern w:val="0"/>
      <w:sz w:val="24"/>
      <w:szCs w:val="20"/>
    </w:rPr>
  </w:style>
  <w:style w:type="table" w:customStyle="1" w:styleId="74">
    <w:name w:val="网格型浅色1"/>
    <w:basedOn w:val="31"/>
    <w:autoRedefine/>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75">
    <w:name w:val="无格式表格 11"/>
    <w:basedOn w:val="31"/>
    <w:autoRedefine/>
    <w:qFormat/>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customStyle="1" w:styleId="76">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77">
    <w:name w:val="样式 文字 + 首行缩进:  2 字符3"/>
    <w:basedOn w:val="1"/>
    <w:autoRedefine/>
    <w:qFormat/>
    <w:uiPriority w:val="0"/>
    <w:pPr>
      <w:spacing w:line="360" w:lineRule="auto"/>
      <w:jc w:val="left"/>
    </w:pPr>
    <w:rPr>
      <w:rFonts w:ascii="Calibri" w:hAnsi="Calibri"/>
      <w:sz w:val="28"/>
      <w:szCs w:val="28"/>
    </w:rPr>
  </w:style>
  <w:style w:type="paragraph" w:styleId="78">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2297</Words>
  <Characters>13097</Characters>
  <Lines>109</Lines>
  <Paragraphs>30</Paragraphs>
  <TotalTime>0</TotalTime>
  <ScaleCrop>false</ScaleCrop>
  <LinksUpToDate>false</LinksUpToDate>
  <CharactersWithSpaces>15364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2024-02-27T04:06:00Z</dcterms:created>
  <dc:creator>jbang</dc:creator>
  <cp:lastModifiedBy>王一军</cp:lastModifiedBy>
  <cp:lastPrinted>2022-10-28T06:34:00Z</cp:lastPrinted>
  <dcterms:modified xsi:type="dcterms:W3CDTF">2024-03-08T08:10:21Z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3BCA378B11F14063AF398375C0477E57_13</vt:lpwstr>
  </property>
</Properties>
</file>