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4"/>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4"/>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4"/>
        <w:keepNext w:val="0"/>
        <w:keepLines w:val="0"/>
        <w:pageBreakBefore w:val="0"/>
        <w:kinsoku/>
        <w:wordWrap/>
        <w:overflowPunct/>
        <w:topLinePunct w:val="0"/>
        <w:bidi w:val="0"/>
        <w:adjustRightInd w:val="0"/>
        <w:snapToGrid w:val="0"/>
        <w:spacing w:line="360" w:lineRule="auto"/>
        <w:ind w:left="0" w:leftChars="0" w:firstLine="0" w:firstLineChars="0"/>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r>
        <w:rPr>
          <w:rFonts w:hint="eastAsia" w:ascii="宋体" w:hAnsi="宋体" w:eastAsia="宋体" w:cs="宋体"/>
          <w:b/>
          <w:color w:val="auto"/>
          <w:sz w:val="44"/>
          <w:szCs w:val="44"/>
          <w:highlight w:val="none"/>
          <w:lang w:eastAsia="zh-CN"/>
        </w:rPr>
        <w:t>车载空调监管系统</w:t>
      </w:r>
      <w:r>
        <w:rPr>
          <w:rFonts w:hint="eastAsia" w:ascii="宋体" w:hAnsi="宋体" w:eastAsia="宋体" w:cs="宋体"/>
          <w:b/>
          <w:color w:val="auto"/>
          <w:sz w:val="44"/>
          <w:szCs w:val="44"/>
          <w:highlight w:val="none"/>
          <w:lang w:val="en-US" w:eastAsia="zh-CN"/>
        </w:rPr>
        <w:t>采购项目</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4"/>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4"/>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4"/>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4"/>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6"/>
        <w:rPr>
          <w:rFonts w:hint="eastAsia" w:ascii="宋体" w:hAnsi="宋体" w:eastAsia="宋体" w:cs="宋体"/>
          <w:b/>
          <w:color w:val="auto"/>
          <w:sz w:val="44"/>
          <w:szCs w:val="44"/>
          <w:highlight w:val="none"/>
          <w:lang w:val="zh-CN"/>
        </w:rPr>
      </w:pPr>
    </w:p>
    <w:p>
      <w:pPr>
        <w:rPr>
          <w:rFonts w:hint="eastAsia" w:ascii="宋体" w:hAnsi="宋体" w:eastAsia="宋体" w:cs="宋体"/>
          <w:b/>
          <w:color w:val="auto"/>
          <w:sz w:val="44"/>
          <w:szCs w:val="44"/>
          <w:highlight w:val="none"/>
          <w:lang w:val="zh-CN"/>
        </w:rPr>
      </w:pPr>
    </w:p>
    <w:p>
      <w:pPr>
        <w:pStyle w:val="6"/>
        <w:rPr>
          <w:rFonts w:hint="eastAsia"/>
          <w:highlight w:val="none"/>
          <w:lang w:val="zh-CN"/>
        </w:rPr>
      </w:pPr>
    </w:p>
    <w:p>
      <w:pPr>
        <w:pStyle w:val="4"/>
        <w:keepNext w:val="0"/>
        <w:keepLines w:val="0"/>
        <w:pageBreakBefore w:val="0"/>
        <w:kinsoku/>
        <w:wordWrap w:val="0"/>
        <w:overflowPunct/>
        <w:topLinePunct w:val="0"/>
        <w:bidi w:val="0"/>
        <w:adjustRightInd w:val="0"/>
        <w:snapToGrid w:val="0"/>
        <w:spacing w:line="360" w:lineRule="auto"/>
        <w:ind w:left="0" w:leftChars="0" w:firstLine="0" w:firstLineChars="0"/>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ind w:left="0" w:leftChars="0" w:firstLine="0" w:firstLineChars="0"/>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2</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10"/>
        <w:rPr>
          <w:rFonts w:hint="eastAsia" w:ascii="宋体" w:hAnsi="宋体" w:eastAsia="宋体" w:cs="宋体"/>
          <w:highlight w:val="none"/>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6"/>
        <w:keepNext w:val="0"/>
        <w:pageBreakBefore w:val="0"/>
        <w:kinsoku/>
        <w:wordWrap w:val="0"/>
        <w:overflowPunct/>
        <w:topLinePunct w:val="0"/>
        <w:bidi w:val="0"/>
        <w:rPr>
          <w:rFonts w:hint="eastAsia" w:ascii="宋体" w:hAnsi="宋体" w:eastAsia="宋体" w:cs="宋体"/>
          <w:highlight w:val="none"/>
        </w:rPr>
      </w:pPr>
    </w:p>
    <w:p>
      <w:pPr>
        <w:pStyle w:val="6"/>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ind w:left="0" w:leftChars="0" w:firstLine="0" w:firstLineChars="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10"/>
        <w:rPr>
          <w:rFonts w:hint="eastAsia" w:ascii="宋体" w:hAnsi="宋体" w:eastAsia="宋体" w:cs="宋体"/>
          <w:highlight w:val="none"/>
          <w:lang w:val="en-US" w:eastAsia="zh-CN"/>
        </w:rPr>
      </w:pPr>
    </w:p>
    <w:p>
      <w:pPr>
        <w:bidi w:val="0"/>
        <w:rPr>
          <w:rFonts w:hint="eastAsia"/>
          <w:lang w:val="en-US" w:eastAsia="zh-CN"/>
        </w:rPr>
      </w:pPr>
      <w:r>
        <w:rPr>
          <w:rFonts w:hint="eastAsia"/>
          <w:lang w:val="en-US" w:eastAsia="zh-CN"/>
        </w:rPr>
        <w:t>现就中山市公共交通运输集团有限公司（下称采购人）车载空调监管系统采购项目进行公开采购，欢迎符合资格条件的供应商参与报价评选，有关事项如下：</w:t>
      </w:r>
    </w:p>
    <w:p>
      <w:pPr>
        <w:bidi w:val="0"/>
        <w:rPr>
          <w:rFonts w:hint="eastAsia"/>
          <w:lang w:val="en-US" w:eastAsia="zh-CN"/>
        </w:rPr>
      </w:pPr>
      <w:r>
        <w:rPr>
          <w:rFonts w:hint="eastAsia"/>
          <w:lang w:val="en-US" w:eastAsia="zh-CN"/>
        </w:rPr>
        <w:t>一、基本情况</w:t>
      </w:r>
    </w:p>
    <w:p>
      <w:pPr>
        <w:bidi w:val="0"/>
        <w:rPr>
          <w:rFonts w:hint="eastAsia"/>
          <w:lang w:val="en-US" w:eastAsia="zh-CN"/>
        </w:rPr>
      </w:pPr>
      <w:r>
        <w:rPr>
          <w:rFonts w:hint="eastAsia"/>
          <w:lang w:val="en-US" w:eastAsia="zh-CN"/>
        </w:rPr>
        <w:t>项目名称：车载空调监管系统采购项目</w:t>
      </w:r>
    </w:p>
    <w:p>
      <w:pPr>
        <w:bidi w:val="0"/>
        <w:rPr>
          <w:rFonts w:hint="eastAsia"/>
          <w:lang w:val="en-US" w:eastAsia="zh-CN"/>
        </w:rPr>
      </w:pPr>
      <w:r>
        <w:rPr>
          <w:rFonts w:hint="eastAsia"/>
          <w:lang w:val="en-US" w:eastAsia="zh-CN"/>
        </w:rPr>
        <w:t>采购限价：不高于人民币33233.00元</w:t>
      </w:r>
    </w:p>
    <w:p>
      <w:pPr>
        <w:bidi w:val="0"/>
        <w:rPr>
          <w:rFonts w:hint="eastAsia"/>
          <w:lang w:val="en-US" w:eastAsia="zh-CN"/>
        </w:rPr>
      </w:pPr>
      <w:r>
        <w:rPr>
          <w:rFonts w:hint="eastAsia"/>
          <w:lang w:val="en-US" w:eastAsia="zh-CN"/>
        </w:rPr>
        <w:t>采购需求：详见用户需求书</w:t>
      </w:r>
    </w:p>
    <w:p>
      <w:pPr>
        <w:bidi w:val="0"/>
        <w:rPr>
          <w:rFonts w:hint="eastAsia"/>
          <w:lang w:val="en-US" w:eastAsia="zh-CN"/>
        </w:rPr>
      </w:pPr>
      <w:r>
        <w:rPr>
          <w:rFonts w:hint="eastAsia"/>
          <w:lang w:val="en-US" w:eastAsia="zh-CN"/>
        </w:rPr>
        <w:t>二、资格要求</w:t>
      </w:r>
    </w:p>
    <w:p>
      <w:pPr>
        <w:bidi w:val="0"/>
        <w:rPr>
          <w:rFonts w:hint="eastAsia"/>
          <w:lang w:val="en-US" w:eastAsia="zh-CN"/>
        </w:rPr>
      </w:pPr>
      <w:r>
        <w:rPr>
          <w:rFonts w:hint="eastAsia"/>
          <w:lang w:val="en-US" w:eastAsia="zh-CN"/>
        </w:rPr>
        <w:t>（一）须具有独立承担民事责任能力的在中华人民共和国境内注册的法人或其他组织。</w:t>
      </w:r>
    </w:p>
    <w:p>
      <w:pPr>
        <w:bidi w:val="0"/>
        <w:rPr>
          <w:rFonts w:hint="default"/>
          <w:lang w:val="en-US" w:eastAsia="zh-CN"/>
        </w:rPr>
      </w:pPr>
      <w:r>
        <w:rPr>
          <w:rFonts w:hint="eastAsia"/>
          <w:lang w:val="en-US" w:eastAsia="zh-CN"/>
        </w:rPr>
        <w:t>（二）</w:t>
      </w:r>
      <w:r>
        <w:rPr>
          <w:rFonts w:hint="eastAsia"/>
          <w:sz w:val="24"/>
        </w:rPr>
        <w:t>经营范围包括研发、计算机技术、软件开发、技术服务、信息系统集成其中一项。</w:t>
      </w:r>
    </w:p>
    <w:p>
      <w:pPr>
        <w:bidi w:val="0"/>
        <w:rPr>
          <w:rFonts w:hint="eastAsia"/>
          <w:lang w:val="en-US" w:eastAsia="zh-CN"/>
        </w:rPr>
      </w:pPr>
      <w:r>
        <w:rPr>
          <w:rFonts w:hint="eastAsia"/>
          <w:lang w:val="en-US" w:eastAsia="zh-CN"/>
        </w:rPr>
        <w:t>（三）供应商未被列入“信用中国”网站（www.creditchina.gov.cn）“失信被执行人”（以评审当天现场查询供应商在“信用中国”网站的结果为准，如相关失信记录已失效，供应商需提供相关证明资料）。</w:t>
      </w:r>
    </w:p>
    <w:p>
      <w:pPr>
        <w:bidi w:val="0"/>
        <w:rPr>
          <w:rFonts w:hint="eastAsia"/>
          <w:lang w:val="en-US" w:eastAsia="zh-CN"/>
        </w:rPr>
      </w:pPr>
      <w:r>
        <w:rPr>
          <w:rFonts w:hint="eastAsia"/>
          <w:lang w:val="en-US" w:eastAsia="zh-CN"/>
        </w:rPr>
        <w:t>（四）本项目不接受联合体投标参评。</w:t>
      </w:r>
    </w:p>
    <w:p>
      <w:pPr>
        <w:bidi w:val="0"/>
        <w:rPr>
          <w:rFonts w:hint="eastAsia"/>
          <w:lang w:val="en-US" w:eastAsia="zh-CN"/>
        </w:rPr>
      </w:pPr>
      <w:r>
        <w:rPr>
          <w:rFonts w:hint="eastAsia"/>
          <w:lang w:val="en-US" w:eastAsia="zh-CN"/>
        </w:rPr>
        <w:t>（五）不得将本项目分包、转包。</w:t>
      </w:r>
    </w:p>
    <w:p>
      <w:pPr>
        <w:bidi w:val="0"/>
        <w:rPr>
          <w:rFonts w:hint="eastAsia"/>
          <w:lang w:eastAsia="zh-CN"/>
        </w:rPr>
      </w:pPr>
      <w:r>
        <w:rPr>
          <w:rFonts w:hint="eastAsia"/>
          <w:lang w:val="en-US" w:eastAsia="zh-CN"/>
        </w:rPr>
        <w:t>三</w:t>
      </w:r>
      <w:r>
        <w:rPr>
          <w:rFonts w:hint="eastAsia"/>
          <w:lang w:eastAsia="zh-CN"/>
        </w:rPr>
        <w:t>、获取</w:t>
      </w:r>
      <w:r>
        <w:rPr>
          <w:rFonts w:hint="eastAsia"/>
          <w:lang w:val="en-US" w:eastAsia="zh-CN"/>
        </w:rPr>
        <w:t>公开询价</w:t>
      </w:r>
      <w:r>
        <w:rPr>
          <w:rFonts w:hint="eastAsia"/>
          <w:lang w:eastAsia="zh-CN"/>
        </w:rPr>
        <w:t>文件</w:t>
      </w:r>
    </w:p>
    <w:p>
      <w:pPr>
        <w:bidi w:val="0"/>
        <w:rPr>
          <w:rFonts w:hint="eastAsia"/>
          <w:lang w:eastAsia="zh-CN"/>
        </w:rPr>
      </w:pPr>
      <w:r>
        <w:rPr>
          <w:rFonts w:hint="eastAsia"/>
          <w:lang w:eastAsia="zh-CN"/>
        </w:rPr>
        <w:t>（一）本项目的</w:t>
      </w:r>
      <w:r>
        <w:rPr>
          <w:rFonts w:hint="eastAsia"/>
          <w:lang w:val="en-US" w:eastAsia="zh-CN"/>
        </w:rPr>
        <w:t>采购</w:t>
      </w:r>
      <w:r>
        <w:rPr>
          <w:rFonts w:hint="eastAsia"/>
          <w:lang w:eastAsia="zh-CN"/>
        </w:rPr>
        <w:t>公告信息</w:t>
      </w:r>
      <w:r>
        <w:rPr>
          <w:rFonts w:hint="eastAsia"/>
          <w:lang w:val="en-US" w:eastAsia="zh-CN"/>
        </w:rPr>
        <w:t>在采购人官方</w:t>
      </w:r>
      <w:r>
        <w:rPr>
          <w:rFonts w:hint="eastAsia"/>
          <w:lang w:eastAsia="zh-CN"/>
        </w:rPr>
        <w:t>网站（https://www.zsbus.cn/）上公布，并视为有效送达，不再另行通知。</w:t>
      </w:r>
    </w:p>
    <w:p>
      <w:pPr>
        <w:bidi w:val="0"/>
        <w:rPr>
          <w:rFonts w:hint="eastAsia"/>
          <w:lang w:eastAsia="zh-CN"/>
        </w:rPr>
      </w:pPr>
      <w:r>
        <w:rPr>
          <w:rFonts w:hint="eastAsia"/>
          <w:lang w:eastAsia="zh-CN"/>
        </w:rPr>
        <w:t>（二）符合资格的</w:t>
      </w:r>
      <w:r>
        <w:rPr>
          <w:rFonts w:hint="eastAsia"/>
          <w:lang w:val="en-US" w:eastAsia="zh-CN"/>
        </w:rPr>
        <w:t>供应商</w:t>
      </w:r>
      <w:r>
        <w:rPr>
          <w:rFonts w:hint="eastAsia"/>
          <w:lang w:eastAsia="zh-CN"/>
        </w:rPr>
        <w:t>自行</w:t>
      </w:r>
      <w:r>
        <w:rPr>
          <w:rFonts w:hint="eastAsia"/>
          <w:lang w:val="en-US" w:eastAsia="zh-CN"/>
        </w:rPr>
        <w:t>在</w:t>
      </w:r>
      <w:r>
        <w:rPr>
          <w:rFonts w:hint="eastAsia"/>
          <w:lang w:eastAsia="zh-CN"/>
        </w:rPr>
        <w:t>有关公告网站下载</w:t>
      </w:r>
      <w:r>
        <w:rPr>
          <w:rFonts w:hint="eastAsia"/>
          <w:lang w:val="en-US" w:eastAsia="zh-CN"/>
        </w:rPr>
        <w:t>询价</w:t>
      </w:r>
      <w:r>
        <w:rPr>
          <w:rFonts w:hint="eastAsia"/>
          <w:lang w:eastAsia="zh-CN"/>
        </w:rPr>
        <w:t>文件。</w:t>
      </w:r>
    </w:p>
    <w:p>
      <w:pPr>
        <w:bidi w:val="0"/>
        <w:rPr>
          <w:rFonts w:hint="eastAsia"/>
          <w:lang w:val="en-US" w:eastAsia="zh-CN"/>
        </w:rPr>
      </w:pPr>
      <w:r>
        <w:rPr>
          <w:rFonts w:hint="eastAsia"/>
          <w:lang w:eastAsia="zh-CN"/>
        </w:rPr>
        <w:t>（三）</w:t>
      </w:r>
      <w:r>
        <w:rPr>
          <w:rFonts w:hint="eastAsia"/>
          <w:lang w:val="en-US" w:eastAsia="zh-CN"/>
        </w:rPr>
        <w:t>询价</w:t>
      </w:r>
      <w:r>
        <w:rPr>
          <w:rFonts w:hint="eastAsia"/>
          <w:lang w:eastAsia="zh-CN"/>
        </w:rPr>
        <w:t>文件下载时间：</w:t>
      </w:r>
      <w:r>
        <w:rPr>
          <w:rFonts w:hint="eastAsia"/>
          <w:lang w:val="en-US" w:eastAsia="zh-CN"/>
        </w:rPr>
        <w:t>本公告发布之日起</w:t>
      </w:r>
      <w:r>
        <w:rPr>
          <w:rFonts w:hint="eastAsia"/>
          <w:lang w:eastAsia="zh-CN"/>
        </w:rPr>
        <w:t>至</w:t>
      </w:r>
      <w:r>
        <w:rPr>
          <w:rFonts w:hint="eastAsia"/>
          <w:lang w:val="en-US" w:eastAsia="zh-CN"/>
        </w:rPr>
        <w:t>2024年2月23日17时30分</w:t>
      </w:r>
      <w:r>
        <w:rPr>
          <w:rFonts w:hint="eastAsia"/>
          <w:lang w:eastAsia="zh-CN"/>
        </w:rPr>
        <w:t>。</w:t>
      </w:r>
    </w:p>
    <w:p>
      <w:pPr>
        <w:bidi w:val="0"/>
        <w:rPr>
          <w:rFonts w:hint="eastAsia"/>
          <w:lang w:val="en-US" w:eastAsia="zh-CN"/>
        </w:rPr>
      </w:pPr>
      <w:r>
        <w:rPr>
          <w:rFonts w:hint="eastAsia"/>
          <w:lang w:val="en-US" w:eastAsia="zh-CN"/>
        </w:rPr>
        <w:t>四、提交参评文件要求</w:t>
      </w:r>
    </w:p>
    <w:p>
      <w:pPr>
        <w:bidi w:val="0"/>
        <w:rPr>
          <w:rFonts w:hint="eastAsia"/>
          <w:lang w:val="en-US" w:eastAsia="zh-CN"/>
        </w:rPr>
      </w:pPr>
      <w:r>
        <w:rPr>
          <w:rFonts w:hint="eastAsia"/>
          <w:lang w:val="en-US" w:eastAsia="zh-CN"/>
        </w:rPr>
        <w:t>（一）参评文件一式壹份，参评文件格式要求详见第四章《参评响应文件格式》；参评文件要求独立装订成册（用夹子或回形针夹住视为未装订成册），按格式要求签字并加盖公章，封口处加盖单位公章后密封提交。</w:t>
      </w:r>
    </w:p>
    <w:p>
      <w:pPr>
        <w:bidi w:val="0"/>
        <w:rPr>
          <w:rFonts w:hint="eastAsia"/>
          <w:lang w:val="en-US" w:eastAsia="zh-CN"/>
        </w:rPr>
      </w:pPr>
      <w:r>
        <w:rPr>
          <w:rFonts w:hint="eastAsia"/>
          <w:lang w:val="en-US" w:eastAsia="zh-CN"/>
        </w:rPr>
        <w:t>（二）参评文件递交截止时间：2024年2月23日17时30分截止（以采购人收到参评文件为准），超时提交的参评文件将拒收。</w:t>
      </w:r>
    </w:p>
    <w:p>
      <w:pPr>
        <w:bidi w:val="0"/>
        <w:rPr>
          <w:rFonts w:hint="eastAsia"/>
          <w:lang w:val="en-US" w:eastAsia="zh-CN"/>
        </w:rPr>
      </w:pPr>
      <w:r>
        <w:rPr>
          <w:rFonts w:hint="eastAsia"/>
          <w:lang w:val="en-US" w:eastAsia="zh-CN"/>
        </w:rPr>
        <w:t>（三）参评文件递交地址及收件人：中山市南区城南三路38号中山公交集团（“车载空调监管系统采购项目”）彭先生（15972926258）。参评文件可邮寄，封面请注明“车载空调监管系统采购项目”以免与其他项目混淆，运费到付的作退件处理。</w:t>
      </w:r>
    </w:p>
    <w:p>
      <w:pPr>
        <w:bidi w:val="0"/>
        <w:rPr>
          <w:rFonts w:hint="eastAsia"/>
          <w:lang w:eastAsia="zh-CN"/>
        </w:rPr>
      </w:pPr>
      <w:r>
        <w:rPr>
          <w:rFonts w:hint="eastAsia"/>
          <w:lang w:val="en-US" w:eastAsia="zh-CN"/>
        </w:rPr>
        <w:t>五、项目评审</w:t>
      </w:r>
    </w:p>
    <w:p>
      <w:pPr>
        <w:bidi w:val="0"/>
        <w:rPr>
          <w:rFonts w:hint="eastAsia"/>
          <w:lang w:val="en-US" w:eastAsia="zh-CN"/>
        </w:rPr>
      </w:pPr>
      <w:r>
        <w:rPr>
          <w:rFonts w:hint="eastAsia"/>
          <w:lang w:val="en-US" w:eastAsia="zh-CN"/>
        </w:rPr>
        <w:t>（一）评审时间：2024年2月26日15时10分。</w:t>
      </w:r>
    </w:p>
    <w:p>
      <w:pPr>
        <w:bidi w:val="0"/>
        <w:rPr>
          <w:rFonts w:hint="eastAsia"/>
          <w:lang w:val="en-US" w:eastAsia="zh-CN"/>
        </w:rPr>
      </w:pPr>
      <w:r>
        <w:rPr>
          <w:rFonts w:hint="eastAsia"/>
          <w:lang w:val="en-US" w:eastAsia="zh-CN"/>
        </w:rPr>
        <w:t>（二）评审地点：中山公交集团城南办公楼会议室，评审时供应商无需到场参加。</w:t>
      </w:r>
    </w:p>
    <w:p>
      <w:pPr>
        <w:bidi w:val="0"/>
        <w:rPr>
          <w:rFonts w:hint="eastAsia"/>
          <w:lang w:val="en-US" w:eastAsia="zh-CN"/>
        </w:rPr>
      </w:pPr>
      <w:r>
        <w:rPr>
          <w:rFonts w:hint="eastAsia"/>
          <w:lang w:val="en-US" w:eastAsia="zh-CN"/>
        </w:rPr>
        <w:t>六</w:t>
      </w:r>
      <w:r>
        <w:rPr>
          <w:rFonts w:hint="eastAsia"/>
          <w:lang w:eastAsia="zh-CN"/>
        </w:rPr>
        <w:t>、</w:t>
      </w:r>
      <w:r>
        <w:rPr>
          <w:rFonts w:hint="eastAsia"/>
          <w:lang w:val="en-US" w:eastAsia="zh-CN"/>
        </w:rPr>
        <w:t>评审结果公示</w:t>
      </w:r>
    </w:p>
    <w:p>
      <w:pPr>
        <w:bidi w:val="0"/>
        <w:rPr>
          <w:rFonts w:hint="eastAsia"/>
          <w:lang w:val="en-US" w:eastAsia="zh-CN"/>
        </w:rPr>
      </w:pPr>
      <w:r>
        <w:rPr>
          <w:rFonts w:hint="eastAsia"/>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供应商对此次评审结果有异议的，可在公示期内向采购人书面提出，但需对异议内容的真实性承担责任。采购人自收到书面异议原件之日起3个工作日内作出答复，并在作出答复前暂停本项目评选活动。</w:t>
      </w:r>
    </w:p>
    <w:p>
      <w:pPr>
        <w:bidi w:val="0"/>
        <w:rPr>
          <w:rFonts w:hint="eastAsia"/>
          <w:lang w:eastAsia="zh-CN"/>
        </w:rPr>
      </w:pPr>
      <w:r>
        <w:rPr>
          <w:rFonts w:hint="eastAsia"/>
          <w:lang w:val="en-US" w:eastAsia="zh-CN"/>
        </w:rPr>
        <w:t>七、</w:t>
      </w:r>
      <w:r>
        <w:rPr>
          <w:rFonts w:hint="eastAsia"/>
          <w:lang w:eastAsia="zh-CN"/>
        </w:rPr>
        <w:t>采购人联系方式</w:t>
      </w:r>
    </w:p>
    <w:p>
      <w:pPr>
        <w:bidi w:val="0"/>
        <w:rPr>
          <w:rFonts w:hint="eastAsia"/>
          <w:lang w:val="en-US" w:eastAsia="zh-CN"/>
        </w:rPr>
      </w:pPr>
      <w:r>
        <w:rPr>
          <w:rFonts w:hint="eastAsia"/>
          <w:lang w:val="en-US" w:eastAsia="zh-CN"/>
        </w:rPr>
        <w:t>（一）联系人及联系电话：王先生 85593631</w:t>
      </w:r>
    </w:p>
    <w:p>
      <w:pPr>
        <w:bidi w:val="0"/>
        <w:rPr>
          <w:rFonts w:hint="eastAsia"/>
          <w:lang w:val="en-US" w:eastAsia="zh-CN"/>
        </w:rPr>
      </w:pPr>
      <w:r>
        <w:rPr>
          <w:rFonts w:hint="eastAsia"/>
          <w:lang w:eastAsia="zh-CN"/>
        </w:rPr>
        <w:t>（</w:t>
      </w:r>
      <w:r>
        <w:rPr>
          <w:rFonts w:hint="eastAsia"/>
          <w:lang w:val="en-US" w:eastAsia="zh-CN"/>
        </w:rPr>
        <w:t>二</w:t>
      </w:r>
      <w:r>
        <w:rPr>
          <w:rFonts w:hint="eastAsia"/>
          <w:lang w:eastAsia="zh-CN"/>
        </w:rPr>
        <w:t>）联系地址：</w:t>
      </w:r>
      <w:r>
        <w:rPr>
          <w:rFonts w:hint="eastAsia"/>
          <w:lang w:val="en-US" w:eastAsia="zh-CN"/>
        </w:rPr>
        <w:t>中山市南区城南三路38号</w:t>
      </w:r>
    </w:p>
    <w:p>
      <w:pPr>
        <w:bidi w:val="0"/>
        <w:rPr>
          <w:rFonts w:hint="eastAsia"/>
          <w:lang w:val="en-US" w:eastAsia="zh-CN"/>
        </w:rPr>
      </w:pPr>
    </w:p>
    <w:p>
      <w:pPr>
        <w:bidi w:val="0"/>
        <w:jc w:val="right"/>
        <w:rPr>
          <w:rFonts w:hint="eastAsia"/>
          <w:lang w:val="en-US" w:eastAsia="zh-CN"/>
        </w:rPr>
      </w:pPr>
      <w:r>
        <w:rPr>
          <w:rFonts w:hint="eastAsia"/>
          <w:lang w:val="en-US" w:eastAsia="zh-CN"/>
        </w:rPr>
        <w:t>中山市公共交通运输集团有限公司</w:t>
      </w:r>
    </w:p>
    <w:p>
      <w:pPr>
        <w:bidi w:val="0"/>
        <w:jc w:val="center"/>
        <w:rPr>
          <w:rFonts w:hint="default"/>
          <w:lang w:val="en-US" w:eastAsia="zh-CN"/>
        </w:rPr>
      </w:pPr>
      <w:r>
        <w:rPr>
          <w:rFonts w:hint="eastAsia"/>
          <w:lang w:val="en-US" w:eastAsia="zh-CN"/>
        </w:rPr>
        <w:t xml:space="preserve">                                    2024年2月20日</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left="0" w:leftChars="0" w:firstLine="0" w:firstLineChars="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bidi w:val="0"/>
        <w:rPr>
          <w:rFonts w:hint="eastAsia"/>
          <w:lang w:val="en-US" w:eastAsia="zh-CN"/>
        </w:rPr>
      </w:pPr>
      <w:r>
        <w:rPr>
          <w:rFonts w:hint="eastAsia"/>
          <w:lang w:val="en-US" w:eastAsia="zh-CN"/>
        </w:rPr>
        <w:t>一、总体要求</w:t>
      </w:r>
    </w:p>
    <w:p>
      <w:pPr>
        <w:bidi w:val="0"/>
        <w:rPr>
          <w:rFonts w:hint="eastAsia"/>
          <w:lang w:val="en-US" w:eastAsia="zh-CN"/>
        </w:rPr>
      </w:pPr>
      <w:r>
        <w:rPr>
          <w:rFonts w:hint="eastAsia"/>
          <w:lang w:val="en-US" w:eastAsia="zh-CN"/>
        </w:rPr>
        <w:t>（一）用户需求书中的服务指标仅为最低要求。</w:t>
      </w:r>
    </w:p>
    <w:p>
      <w:pPr>
        <w:bidi w:val="0"/>
        <w:rPr>
          <w:rFonts w:hint="eastAsia"/>
          <w:lang w:val="en-US" w:eastAsia="zh-CN"/>
        </w:rPr>
      </w:pPr>
      <w:r>
        <w:rPr>
          <w:rFonts w:hint="eastAsia"/>
          <w:lang w:val="en-US" w:eastAsia="zh-CN"/>
        </w:rPr>
        <w:t>（二）报价上限为￥33233.00元。供应商所报价格包含技术对接、模块搭建、系统三年维护以及售后服务费、增值税专用税费等全部费用，未经采购人书面同意，供应商不得向采购人额外收取其他费用。</w:t>
      </w:r>
    </w:p>
    <w:p>
      <w:pPr>
        <w:bidi w:val="0"/>
        <w:rPr>
          <w:rFonts w:hint="eastAsia"/>
          <w:lang w:val="en-US" w:eastAsia="zh-CN"/>
        </w:rPr>
      </w:pPr>
      <w:r>
        <w:rPr>
          <w:rFonts w:hint="eastAsia"/>
          <w:lang w:val="en-US" w:eastAsia="zh-CN"/>
        </w:rPr>
        <w:t>（三）</w:t>
      </w:r>
      <w:r>
        <w:rPr>
          <w:rFonts w:hint="eastAsia"/>
          <w:lang w:val="en-US"/>
        </w:rPr>
        <w:t>本询价文件中凡标有星号“★”的地方均被视为重要的响应要求。</w:t>
      </w:r>
      <w:r>
        <w:rPr>
          <w:rFonts w:hint="eastAsia"/>
          <w:lang w:val="en-US" w:eastAsia="zh-CN"/>
        </w:rPr>
        <w:t>供应商</w:t>
      </w:r>
      <w:r>
        <w:rPr>
          <w:rFonts w:hint="eastAsia"/>
          <w:lang w:val="en-US"/>
        </w:rPr>
        <w:t>要特别加以注意且必须对此作出回答并完全满足这些要求。任何</w:t>
      </w:r>
      <w:r>
        <w:rPr>
          <w:rFonts w:hint="eastAsia"/>
          <w:lang w:val="en-US" w:eastAsia="zh-CN"/>
        </w:rPr>
        <w:t>负</w:t>
      </w:r>
      <w:r>
        <w:rPr>
          <w:rFonts w:hint="eastAsia"/>
          <w:lang w:val="en-US"/>
        </w:rPr>
        <w:t>偏离都有可能导致</w:t>
      </w:r>
      <w:r>
        <w:rPr>
          <w:rFonts w:hint="eastAsia"/>
          <w:lang w:val="en-US" w:eastAsia="zh-CN"/>
        </w:rPr>
        <w:t>失去参评资格</w:t>
      </w:r>
      <w:r>
        <w:rPr>
          <w:rFonts w:hint="eastAsia"/>
          <w:lang w:val="en-US"/>
        </w:rPr>
        <w:t>。</w:t>
      </w:r>
    </w:p>
    <w:p>
      <w:pPr>
        <w:bidi w:val="0"/>
        <w:rPr>
          <w:rFonts w:hint="eastAsia"/>
          <w:lang w:val="en-US" w:eastAsia="zh-CN"/>
        </w:rPr>
      </w:pPr>
      <w:r>
        <w:rPr>
          <w:rFonts w:hint="eastAsia"/>
          <w:lang w:val="en-US"/>
        </w:rPr>
        <w:t>★</w:t>
      </w:r>
      <w:r>
        <w:rPr>
          <w:rFonts w:hint="eastAsia"/>
          <w:lang w:val="en-US" w:eastAsia="zh-CN"/>
        </w:rPr>
        <w:t>（四）产品要求</w:t>
      </w:r>
    </w:p>
    <w:p>
      <w:pPr>
        <w:bidi w:val="0"/>
        <w:rPr>
          <w:rFonts w:hint="default"/>
          <w:lang w:val="en-US" w:eastAsia="zh-CN"/>
        </w:rPr>
      </w:pPr>
      <w:r>
        <w:rPr>
          <w:rFonts w:hint="eastAsia"/>
          <w:lang w:val="en-US" w:eastAsia="zh-CN"/>
        </w:rPr>
        <w:t>详见用户需求（附件）。</w:t>
      </w:r>
    </w:p>
    <w:p>
      <w:pPr>
        <w:bidi w:val="0"/>
        <w:rPr>
          <w:rFonts w:hint="eastAsia"/>
          <w:lang w:val="en-US" w:eastAsia="zh-CN"/>
        </w:rPr>
      </w:pPr>
      <w:r>
        <w:rPr>
          <w:rFonts w:hint="eastAsia"/>
          <w:lang w:val="en-US" w:eastAsia="zh-CN"/>
        </w:rPr>
        <w:t>（五）合同期</w:t>
      </w:r>
    </w:p>
    <w:p>
      <w:pPr>
        <w:bidi w:val="0"/>
        <w:rPr>
          <w:rFonts w:hint="eastAsia"/>
          <w:lang w:val="en-US" w:eastAsia="zh-CN"/>
        </w:rPr>
      </w:pPr>
      <w:r>
        <w:rPr>
          <w:rFonts w:hint="eastAsia"/>
          <w:lang w:val="en-US" w:eastAsia="zh-CN"/>
        </w:rPr>
        <w:t>自合同签订之日起，至产品质保期满之日止。</w:t>
      </w:r>
    </w:p>
    <w:p>
      <w:pPr>
        <w:bidi w:val="0"/>
        <w:rPr>
          <w:rFonts w:hint="eastAsia"/>
          <w:lang w:val="en-US" w:eastAsia="zh-CN"/>
        </w:rPr>
      </w:pPr>
      <w:r>
        <w:rPr>
          <w:rFonts w:hint="eastAsia"/>
          <w:lang w:val="en-US" w:eastAsia="zh-CN"/>
        </w:rPr>
        <w:t>（六）项目时限</w:t>
      </w:r>
    </w:p>
    <w:p>
      <w:pPr>
        <w:bidi w:val="0"/>
        <w:rPr>
          <w:rFonts w:hint="eastAsia"/>
          <w:lang w:val="en-US" w:eastAsia="zh-CN"/>
        </w:rPr>
      </w:pPr>
      <w:r>
        <w:rPr>
          <w:rFonts w:hint="eastAsia"/>
          <w:lang w:val="en-US"/>
        </w:rPr>
        <w:t>★</w:t>
      </w:r>
      <w:r>
        <w:rPr>
          <w:rFonts w:hint="eastAsia"/>
          <w:lang w:val="en-US" w:eastAsia="zh-CN"/>
        </w:rPr>
        <w:t>1、中选人在收到中选通知之日起5个工作日完成需求对接。</w:t>
      </w:r>
    </w:p>
    <w:p>
      <w:pPr>
        <w:bidi w:val="0"/>
        <w:rPr>
          <w:rFonts w:hint="eastAsia"/>
          <w:lang w:val="en-US" w:eastAsia="zh-CN"/>
        </w:rPr>
      </w:pPr>
      <w:r>
        <w:rPr>
          <w:rFonts w:hint="eastAsia"/>
          <w:lang w:val="en-US" w:eastAsia="zh-CN"/>
        </w:rPr>
        <w:t>2、中选人在收到中选通知之日起20个工作日完成系统上线试用。</w:t>
      </w:r>
    </w:p>
    <w:p>
      <w:pPr>
        <w:bidi w:val="0"/>
        <w:rPr>
          <w:rFonts w:hint="eastAsia"/>
          <w:lang w:val="en-US" w:eastAsia="zh-CN"/>
        </w:rPr>
      </w:pPr>
      <w:r>
        <w:rPr>
          <w:rFonts w:hint="eastAsia"/>
          <w:lang w:val="en-US" w:eastAsia="zh-CN"/>
        </w:rPr>
        <w:t>（七）付款方式</w:t>
      </w:r>
    </w:p>
    <w:p>
      <w:pPr>
        <w:bidi w:val="0"/>
        <w:rPr>
          <w:rFonts w:hint="default"/>
          <w:lang w:val="en-US" w:eastAsia="zh-CN"/>
        </w:rPr>
      </w:pPr>
      <w:r>
        <w:rPr>
          <w:rFonts w:hint="eastAsia"/>
          <w:lang w:val="en-US"/>
        </w:rPr>
        <w:t>★</w:t>
      </w:r>
      <w:r>
        <w:rPr>
          <w:rFonts w:hint="eastAsia"/>
          <w:lang w:val="en-US" w:eastAsia="zh-CN"/>
        </w:rPr>
        <w:t>1系统上线试用后，30天内转账支付70%合同金额。剩余30%合同金额在系统完成调试正常使用后30天内转账支付。</w:t>
      </w:r>
    </w:p>
    <w:p>
      <w:pPr>
        <w:bidi w:val="0"/>
        <w:rPr>
          <w:rFonts w:hint="eastAsia" w:ascii="宋体" w:hAnsi="宋体" w:eastAsia="宋体" w:cs="宋体"/>
          <w:b w:val="0"/>
          <w:bCs w:val="0"/>
          <w:szCs w:val="24"/>
          <w:highlight w:val="none"/>
          <w:lang w:val="en-US" w:eastAsia="zh-CN"/>
        </w:rPr>
      </w:pPr>
      <w:r>
        <w:rPr>
          <w:rFonts w:hint="eastAsia"/>
          <w:lang w:val="en-US" w:eastAsia="zh-CN"/>
        </w:rPr>
        <w:t>2、每次款项支付前，中选人须向采购人提供相应款项的增值税专用发票。</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6"/>
        <w:keepNext w:val="0"/>
        <w:keepLines w:val="0"/>
        <w:pageBreakBefore w:val="0"/>
        <w:kinsoku/>
        <w:wordWrap w:val="0"/>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p>
    <w:p>
      <w:pPr>
        <w:bidi w:val="0"/>
        <w:rPr>
          <w:rFonts w:hint="eastAsia"/>
          <w:lang w:val="en-US" w:eastAsia="zh-CN"/>
        </w:rPr>
      </w:pPr>
      <w:r>
        <w:rPr>
          <w:rFonts w:hint="eastAsia"/>
          <w:lang w:val="en-US" w:eastAsia="zh-CN"/>
        </w:rPr>
        <w:t>一、采购人按规定组建定价小组，定价小组本着公平、公正、科学、择优的原则，根据评审标准开展项目评审和推荐中选候选单位，任何单位和个人不得非法干预或者影响评审过程和结果。</w:t>
      </w:r>
    </w:p>
    <w:p>
      <w:pPr>
        <w:bidi w:val="0"/>
        <w:rPr>
          <w:rFonts w:hint="eastAsia"/>
          <w:lang w:val="en-US" w:eastAsia="zh-CN"/>
        </w:rPr>
      </w:pPr>
      <w:r>
        <w:rPr>
          <w:rFonts w:hint="eastAsia"/>
          <w:lang w:val="en-US" w:eastAsia="zh-CN"/>
        </w:rPr>
        <w:t>二、评审标准</w:t>
      </w:r>
    </w:p>
    <w:p>
      <w:pPr>
        <w:bidi w:val="0"/>
        <w:rPr>
          <w:rFonts w:hint="eastAsia"/>
          <w:lang w:val="en-US" w:eastAsia="zh-CN"/>
        </w:rPr>
      </w:pPr>
      <w:r>
        <w:rPr>
          <w:rFonts w:hint="eastAsia"/>
          <w:lang w:val="en-US" w:eastAsia="zh-CN"/>
        </w:rPr>
        <w:t>（一）</w:t>
      </w:r>
      <w:r>
        <w:rPr>
          <w:rFonts w:hint="eastAsia"/>
          <w:lang w:eastAsia="zh-CN"/>
        </w:rPr>
        <w:t>采用</w:t>
      </w:r>
      <w:r>
        <w:rPr>
          <w:rFonts w:hint="eastAsia"/>
          <w:lang w:val="en-US" w:eastAsia="zh-CN"/>
        </w:rPr>
        <w:t>一次报价的方式，对符合资格的参评供应商确定为有效报价人，定价小组根据“最低价中标原则”确定一个中选候选人；如遇到报价相同的最低价，按以下方式处理：</w:t>
      </w:r>
    </w:p>
    <w:p>
      <w:pPr>
        <w:bidi w:val="0"/>
        <w:rPr>
          <w:rFonts w:hint="default"/>
          <w:lang w:val="en-US" w:eastAsia="zh-CN"/>
        </w:rPr>
      </w:pPr>
      <w:r>
        <w:rPr>
          <w:rFonts w:hint="eastAsia"/>
          <w:lang w:val="en-US" w:eastAsia="zh-CN"/>
        </w:rPr>
        <w:t>1.优先选择采购人现有合同供应商；</w:t>
      </w:r>
    </w:p>
    <w:p>
      <w:pPr>
        <w:bidi w:val="0"/>
        <w:rPr>
          <w:rFonts w:hint="eastAsia"/>
          <w:lang w:val="en-US" w:eastAsia="zh-CN"/>
        </w:rPr>
      </w:pPr>
      <w:r>
        <w:rPr>
          <w:rFonts w:hint="eastAsia"/>
          <w:lang w:val="en-US" w:eastAsia="zh-CN"/>
        </w:rPr>
        <w:t>2.两家或两家以上均为采购人现有合同供应商或均非采购人现有合同供应商，优先选择质保期较长的供应商；</w:t>
      </w:r>
    </w:p>
    <w:p>
      <w:pPr>
        <w:bidi w:val="0"/>
        <w:ind w:firstLine="480" w:firstLineChars="200"/>
        <w:rPr>
          <w:rFonts w:hint="eastAsia"/>
          <w:lang w:val="en-US" w:eastAsia="zh-CN"/>
        </w:rPr>
      </w:pPr>
      <w:r>
        <w:rPr>
          <w:rFonts w:hint="eastAsia"/>
          <w:lang w:val="en-US" w:eastAsia="zh-CN"/>
        </w:rPr>
        <w:t>3.两家或两家以上均为采购人现有合同供应商或均非采购人现有合同供应商但质保期相同的，定价小组通过随机摇珠方式决定候选人的中选顺序。</w:t>
      </w:r>
    </w:p>
    <w:p>
      <w:pPr>
        <w:bidi w:val="0"/>
        <w:rPr>
          <w:rFonts w:hint="eastAsia" w:ascii="宋体" w:hAnsi="宋体" w:eastAsia="宋体" w:cs="宋体"/>
          <w:b w:val="0"/>
          <w:bCs w:val="0"/>
          <w:szCs w:val="24"/>
          <w:highlight w:val="none"/>
          <w:lang w:val="en-US" w:eastAsia="zh-CN"/>
        </w:rPr>
      </w:pPr>
      <w:r>
        <w:rPr>
          <w:rFonts w:hint="eastAsia"/>
          <w:lang w:val="en-US" w:eastAsia="zh-CN"/>
        </w:rPr>
        <w:t>三、评审结果：定价小组按评审标准确定第一中选候选人，经结果公示程序后，由采购人向第一中选候选人发出</w:t>
      </w:r>
      <w:r>
        <w:rPr>
          <w:rFonts w:hint="eastAsia"/>
          <w:lang w:eastAsia="zh-CN"/>
        </w:rPr>
        <w:t>《</w:t>
      </w:r>
      <w:r>
        <w:rPr>
          <w:rFonts w:hint="eastAsia"/>
          <w:lang w:val="en-US" w:eastAsia="zh-CN"/>
        </w:rPr>
        <w:t>评选结果</w:t>
      </w:r>
      <w:r>
        <w:rPr>
          <w:rFonts w:hint="eastAsia"/>
          <w:lang w:eastAsia="zh-CN"/>
        </w:rPr>
        <w:t>通知书》</w:t>
      </w:r>
      <w:r>
        <w:rPr>
          <w:rFonts w:hint="eastAsia"/>
          <w:lang w:val="en-US" w:eastAsia="zh-CN"/>
        </w:rPr>
        <w:t>。如第一中选候选人因故不能履约的，采购人可以确定第二中选候选人为供应商，以此类推</w:t>
      </w:r>
      <w:r>
        <w:rPr>
          <w:rFonts w:hint="eastAsia" w:ascii="宋体" w:hAnsi="宋体" w:eastAsia="宋体" w:cs="宋体"/>
          <w:b w:val="0"/>
          <w:bCs w:val="0"/>
          <w:szCs w:val="24"/>
          <w:highlight w:val="none"/>
          <w:lang w:val="en-US" w:eastAsia="zh-CN"/>
        </w:rPr>
        <w:t>。</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ind w:left="0" w:leftChars="0" w:firstLine="0" w:firstLineChars="0"/>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tbl>
      <w:tblPr>
        <w:tblStyle w:val="7"/>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w:t>
            </w:r>
            <w:r>
              <w:rPr>
                <w:rFonts w:hint="eastAsia" w:ascii="宋体" w:hAnsi="宋体" w:eastAsia="宋体" w:cs="宋体"/>
                <w:bCs/>
                <w:color w:val="000000"/>
                <w:szCs w:val="21"/>
                <w:highlight w:val="none"/>
                <w:lang w:val="en-US" w:eastAsia="zh-CN"/>
              </w:rPr>
              <w:t>/负责人</w:t>
            </w:r>
            <w:r>
              <w:rPr>
                <w:rFonts w:hint="eastAsia" w:ascii="宋体" w:hAnsi="宋体" w:eastAsia="宋体" w:cs="宋体"/>
                <w:bCs/>
                <w:color w:val="000000"/>
                <w:szCs w:val="21"/>
                <w:highlight w:val="none"/>
              </w:rPr>
              <w:t>的，</w:t>
            </w:r>
            <w:r>
              <w:rPr>
                <w:rFonts w:hint="eastAsia" w:ascii="宋体" w:hAnsi="宋体" w:eastAsia="宋体" w:cs="宋体"/>
                <w:bCs/>
                <w:color w:val="000000"/>
                <w:szCs w:val="21"/>
                <w:highlight w:val="none"/>
                <w:lang w:val="en-US" w:eastAsia="zh-CN"/>
              </w:rPr>
              <w:t>须另外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须具有独立承担民事责任能力的在中华人民共和国境内注册的法人或其他组织，提供营业执照</w:t>
            </w:r>
            <w:r>
              <w:rPr>
                <w:rFonts w:hint="eastAsia" w:ascii="宋体" w:hAnsi="宋体" w:eastAsia="宋体" w:cs="宋体"/>
                <w:bCs/>
                <w:color w:val="000000"/>
                <w:szCs w:val="21"/>
                <w:highlight w:val="none"/>
                <w:lang w:eastAsia="zh-CN"/>
              </w:rPr>
              <w:t>，</w:t>
            </w:r>
            <w:r>
              <w:rPr>
                <w:rFonts w:hint="eastAsia"/>
                <w:sz w:val="24"/>
              </w:rPr>
              <w:t>经营范围包括研发、计算机技术、软件开发、技术服务、信息系统集成其中一项，</w:t>
            </w:r>
            <w:r>
              <w:rPr>
                <w:rFonts w:hint="eastAsia" w:ascii="宋体" w:hAnsi="宋体" w:eastAsia="宋体" w:cs="宋体"/>
                <w:bCs/>
                <w:color w:val="000000"/>
                <w:szCs w:val="21"/>
                <w:highlight w:val="none"/>
                <w:lang w:val="en-US" w:eastAsia="zh-CN"/>
              </w:rPr>
              <w:t>并按要求盖章。</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供应商未被列入“信用中国”网站（www.creditchina.gov.cn）“失信被执行人”。</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4</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为非联合体投标参评。</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承诺不将本项目分包、转包。</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color w:val="000000"/>
                <w:spacing w:val="0"/>
                <w:kern w:val="2"/>
                <w:sz w:val="21"/>
                <w:szCs w:val="21"/>
                <w:highlight w:val="none"/>
                <w:lang w:val="en-US" w:eastAsia="zh-CN" w:bidi="ar-SA"/>
              </w:rPr>
            </w:pPr>
            <w:r>
              <w:rPr>
                <w:rFonts w:hint="eastAsia" w:ascii="宋体" w:hAnsi="宋体" w:eastAsia="宋体" w:cs="宋体"/>
                <w:bCs/>
                <w:color w:val="000000"/>
                <w:spacing w:val="0"/>
                <w:sz w:val="21"/>
                <w:szCs w:val="21"/>
                <w:highlight w:val="none"/>
                <w:lang w:val="en-US" w:eastAsia="zh-CN"/>
              </w:rPr>
              <w:t>7</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Cs/>
                <w:color w:val="000000"/>
                <w:kern w:val="2"/>
                <w:sz w:val="24"/>
                <w:szCs w:val="21"/>
                <w:highlight w:val="none"/>
                <w:lang w:val="en-US" w:eastAsia="zh-CN" w:bidi="ar-SA"/>
              </w:rPr>
            </w:pPr>
            <w:r>
              <w:rPr>
                <w:rFonts w:hint="eastAsia" w:ascii="宋体" w:hAnsi="宋体" w:eastAsia="宋体" w:cs="宋体"/>
                <w:bCs/>
                <w:color w:val="000000"/>
                <w:szCs w:val="21"/>
                <w:highlight w:val="none"/>
                <w:lang w:val="en-US" w:eastAsia="zh-CN"/>
              </w:rPr>
              <w:t>关键需求响应表中标有星号“★”的内容全部完全响应，或正偏离。</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color w:val="000000"/>
                <w:spacing w:val="0"/>
                <w:kern w:val="2"/>
                <w:sz w:val="21"/>
                <w:szCs w:val="21"/>
                <w:highlight w:val="none"/>
                <w:lang w:val="en-US" w:eastAsia="zh-CN" w:bidi="ar-SA"/>
              </w:rPr>
            </w:pPr>
            <w:r>
              <w:rPr>
                <w:rFonts w:hint="eastAsia" w:ascii="宋体" w:hAnsi="宋体" w:eastAsia="宋体" w:cs="宋体"/>
                <w:bCs/>
                <w:color w:val="000000"/>
                <w:spacing w:val="0"/>
                <w:sz w:val="21"/>
                <w:szCs w:val="21"/>
                <w:highlight w:val="none"/>
                <w:lang w:val="en-US" w:eastAsia="zh-CN"/>
              </w:rPr>
              <w:t>8</w:t>
            </w:r>
          </w:p>
        </w:tc>
        <w:tc>
          <w:tcPr>
            <w:tcW w:w="3967"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000000"/>
                <w:kern w:val="2"/>
                <w:sz w:val="24"/>
                <w:szCs w:val="21"/>
                <w:highlight w:val="none"/>
                <w:lang w:val="en-US" w:eastAsia="zh-CN" w:bidi="ar-SA"/>
              </w:rPr>
            </w:pPr>
            <w:r>
              <w:rPr>
                <w:rFonts w:hint="eastAsia" w:ascii="宋体" w:hAnsi="宋体" w:eastAsia="宋体" w:cs="宋体"/>
                <w:bCs/>
                <w:color w:val="000000"/>
                <w:szCs w:val="21"/>
                <w:highlight w:val="none"/>
                <w:lang w:val="en-US" w:eastAsia="zh-CN"/>
              </w:rPr>
              <w:t>符合询价文件要求的其他条件（如装订要求、密封要求、盖章签署要求等）。</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700" w:type="dxa"/>
            <w:gridSpan w:val="2"/>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069"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1144"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c>
          <w:tcPr>
            <w:tcW w:w="780" w:type="dxa"/>
            <w:vAlign w:val="top"/>
          </w:tcPr>
          <w:p>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潜在参评供应商</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定价小组全体成员</w:t>
      </w:r>
      <w:r>
        <w:rPr>
          <w:rFonts w:hint="eastAsia" w:ascii="宋体" w:hAnsi="宋体" w:eastAsia="宋体" w:cs="宋体"/>
          <w:b/>
          <w:bCs w:val="0"/>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10"/>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ind w:left="0" w:lef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575"/>
        <w:gridCol w:w="1045"/>
        <w:gridCol w:w="1620"/>
        <w:gridCol w:w="782"/>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357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04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质保期</w:t>
            </w:r>
          </w:p>
        </w:tc>
        <w:tc>
          <w:tcPr>
            <w:tcW w:w="1620"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782"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排名</w:t>
            </w:r>
          </w:p>
        </w:tc>
        <w:tc>
          <w:tcPr>
            <w:tcW w:w="73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57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供应商A</w:t>
            </w:r>
          </w:p>
        </w:tc>
        <w:tc>
          <w:tcPr>
            <w:tcW w:w="104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1620"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82"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57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供应商B</w:t>
            </w:r>
          </w:p>
        </w:tc>
        <w:tc>
          <w:tcPr>
            <w:tcW w:w="104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1620"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82"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357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供应商C</w:t>
            </w:r>
          </w:p>
        </w:tc>
        <w:tc>
          <w:tcPr>
            <w:tcW w:w="104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1620"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82"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357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045"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1620"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82"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p>
        </w:tc>
        <w:tc>
          <w:tcPr>
            <w:tcW w:w="735" w:type="dxa"/>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ind w:firstLine="482" w:firstLineChars="200"/>
        <w:rPr>
          <w:rFonts w:hint="eastAsia" w:ascii="宋体" w:hAnsi="宋体" w:eastAsia="宋体" w:cs="宋体"/>
          <w:bCs/>
          <w:spacing w:val="0"/>
          <w:sz w:val="24"/>
          <w:highlight w:val="none"/>
          <w:lang w:val="en-US" w:eastAsia="zh-CN"/>
        </w:rPr>
      </w:pPr>
      <w:r>
        <w:rPr>
          <w:rFonts w:hint="eastAsia" w:ascii="宋体" w:hAnsi="宋体" w:eastAsia="宋体" w:cs="宋体"/>
          <w:b/>
          <w:bCs w:val="0"/>
          <w:spacing w:val="0"/>
          <w:sz w:val="24"/>
          <w:highlight w:val="none"/>
          <w:lang w:val="en-US" w:eastAsia="zh-CN"/>
        </w:rPr>
        <w:t>定价小组全体成员</w:t>
      </w:r>
      <w:r>
        <w:rPr>
          <w:rFonts w:hint="eastAsia" w:ascii="宋体" w:hAnsi="宋体" w:eastAsia="宋体" w:cs="宋体"/>
          <w:b/>
          <w:bCs w:val="0"/>
          <w:spacing w:val="0"/>
          <w:sz w:val="24"/>
          <w:highlight w:val="none"/>
        </w:rPr>
        <w:t>签名</w:t>
      </w:r>
      <w:r>
        <w:rPr>
          <w:rFonts w:hint="eastAsia" w:ascii="宋体" w:hAnsi="宋体" w:eastAsia="宋体" w:cs="宋体"/>
          <w:bCs/>
          <w:spacing w:val="0"/>
          <w:sz w:val="24"/>
          <w:highlight w:val="none"/>
        </w:rPr>
        <w:t>：</w:t>
      </w:r>
    </w:p>
    <w:p>
      <w:pPr>
        <w:keepNext w:val="0"/>
        <w:keepLines w:val="0"/>
        <w:pageBreakBefore w:val="0"/>
        <w:kinsoku/>
        <w:wordWrap w:val="0"/>
        <w:overflowPunct/>
        <w:topLinePunct w:val="0"/>
        <w:bidi w:val="0"/>
        <w:adjustRightInd w:val="0"/>
        <w:snapToGrid w:val="0"/>
        <w:spacing w:line="480" w:lineRule="auto"/>
        <w:ind w:firstLine="482" w:firstLineChars="200"/>
        <w:rPr>
          <w:rFonts w:hint="eastAsia" w:ascii="宋体" w:hAnsi="宋体" w:eastAsia="宋体" w:cs="宋体"/>
          <w:bCs/>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r>
        <w:rPr>
          <w:rFonts w:hint="eastAsia" w:ascii="宋体" w:hAnsi="宋体" w:eastAsia="宋体" w:cs="宋体"/>
          <w:bCs/>
          <w:spacing w:val="0"/>
          <w:sz w:val="24"/>
          <w:highlight w:val="none"/>
        </w:rPr>
        <w:t>：</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10"/>
        <w:keepNext w:val="0"/>
        <w:pageBreakBefore w:val="0"/>
        <w:kinsoku/>
        <w:wordWrap w:val="0"/>
        <w:overflowPunct/>
        <w:topLinePunct w:val="0"/>
        <w:bidi w:val="0"/>
        <w:ind w:firstLine="640" w:firstLineChars="20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6"/>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7"/>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047"/>
        <w:gridCol w:w="1140"/>
        <w:gridCol w:w="1605"/>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vAlign w:val="center"/>
          </w:tcPr>
          <w:p>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04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140"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质保期</w:t>
            </w:r>
          </w:p>
        </w:tc>
        <w:tc>
          <w:tcPr>
            <w:tcW w:w="1605"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258"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供应商A</w:t>
            </w:r>
          </w:p>
        </w:tc>
        <w:tc>
          <w:tcPr>
            <w:tcW w:w="104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140"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605"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258"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供应商B</w:t>
            </w:r>
          </w:p>
        </w:tc>
        <w:tc>
          <w:tcPr>
            <w:tcW w:w="104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140"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605"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258"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供应商C</w:t>
            </w:r>
          </w:p>
        </w:tc>
        <w:tc>
          <w:tcPr>
            <w:tcW w:w="104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140"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605"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258"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047"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140"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605"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c>
          <w:tcPr>
            <w:tcW w:w="1258" w:type="dxa"/>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kinsoku/>
        <w:wordWrap w:val="0"/>
        <w:overflowPunct/>
        <w:topLinePunct w:val="0"/>
        <w:bidi w:val="0"/>
        <w:adjustRightInd w:val="0"/>
        <w:snapToGrid w:val="0"/>
        <w:spacing w:line="240" w:lineRule="auto"/>
        <w:ind w:firstLine="480" w:firstLineChars="200"/>
        <w:jc w:val="left"/>
        <w:rPr>
          <w:rFonts w:hint="eastAsia" w:ascii="宋体" w:hAnsi="宋体" w:eastAsia="宋体" w:cs="宋体"/>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ind w:firstLine="482"/>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定价小组全体成员</w:t>
      </w:r>
      <w:r>
        <w:rPr>
          <w:rFonts w:hint="eastAsia" w:ascii="宋体" w:hAnsi="宋体" w:eastAsia="宋体" w:cs="宋体"/>
          <w:b/>
          <w:bCs w:val="0"/>
          <w:spacing w:val="0"/>
          <w:sz w:val="24"/>
          <w:highlight w:val="none"/>
        </w:rPr>
        <w:t>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10"/>
        <w:rPr>
          <w:rFonts w:hint="eastAsia" w:ascii="宋体" w:hAnsi="宋体" w:eastAsia="宋体" w:cs="宋体"/>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ind w:left="0" w:leftChars="0" w:firstLine="0" w:firstLineChars="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ind w:left="0" w:leftChars="0" w:firstLine="0" w:firstLineChars="0"/>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4"/>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4"/>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4"/>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4"/>
        <w:keepNext w:val="0"/>
        <w:keepLines w:val="0"/>
        <w:pageBreakBefore w:val="0"/>
        <w:kinsoku/>
        <w:wordWrap w:val="0"/>
        <w:overflowPunct/>
        <w:topLinePunct w:val="0"/>
        <w:bidi w:val="0"/>
        <w:spacing w:line="560" w:lineRule="exact"/>
        <w:ind w:firstLine="0" w:firstLineChars="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hAnsi="宋体" w:eastAsia="宋体" w:cs="宋体"/>
          <w:b/>
          <w:sz w:val="32"/>
          <w:szCs w:val="32"/>
          <w:highlight w:val="none"/>
          <w:u w:val="single"/>
          <w:lang w:val="en-US" w:eastAsia="zh-CN"/>
        </w:rPr>
        <w:t>车载空调监管系统采购项目</w:t>
      </w:r>
    </w:p>
    <w:p>
      <w:pPr>
        <w:pStyle w:val="4"/>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4"/>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4"/>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（盖章）</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0"/>
        <w:rPr>
          <w:rFonts w:hint="eastAsia"/>
          <w:highlight w:val="none"/>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highlight w:val="none"/>
                              </w:rPr>
                            </w:pPr>
                            <w:r>
                              <w:rPr>
                                <w:rFonts w:hint="eastAsia" w:hAnsi="宋体"/>
                                <w:szCs w:val="21"/>
                              </w:rPr>
                              <w:t>法定代表人</w:t>
                            </w:r>
                            <w:r>
                              <w:rPr>
                                <w:rFonts w:hint="eastAsia" w:hAnsi="宋体"/>
                                <w:szCs w:val="21"/>
                                <w:lang w:val="en-US" w:eastAsia="zh-CN"/>
                              </w:rPr>
                              <w:t>/负责人</w:t>
                            </w:r>
                            <w:r>
                              <w:rPr>
                                <w:rFonts w:hint="eastAsia" w:hAnsi="宋体"/>
                                <w:szCs w:val="21"/>
                              </w:rPr>
                              <w:t>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highlight w:val="none"/>
                        </w:rPr>
                      </w:pPr>
                      <w:r>
                        <w:rPr>
                          <w:rFonts w:hint="eastAsia" w:hAnsi="宋体"/>
                          <w:szCs w:val="21"/>
                        </w:rPr>
                        <w:t>法定代表人</w:t>
                      </w:r>
                      <w:r>
                        <w:rPr>
                          <w:rFonts w:hint="eastAsia" w:hAnsi="宋体"/>
                          <w:szCs w:val="21"/>
                          <w:lang w:val="en-US" w:eastAsia="zh-CN"/>
                        </w:rPr>
                        <w:t>/负责人</w:t>
                      </w:r>
                      <w:r>
                        <w:rPr>
                          <w:rFonts w:hint="eastAsia" w:hAnsi="宋体"/>
                          <w:szCs w:val="21"/>
                        </w:rPr>
                        <w:t>身份证</w:t>
                      </w:r>
                      <w:r>
                        <w:rPr>
                          <w:rFonts w:hint="eastAsia" w:hAnsi="宋体"/>
                          <w:szCs w:val="21"/>
                          <w:highlight w:val="none"/>
                        </w:rPr>
                        <w:t>复印件</w:t>
                      </w:r>
                      <w:r>
                        <w:rPr>
                          <w:rFonts w:hAnsi="宋体"/>
                          <w:szCs w:val="21"/>
                          <w:highlight w:val="none"/>
                        </w:rPr>
                        <w:t>(</w:t>
                      </w:r>
                      <w:r>
                        <w:rPr>
                          <w:rFonts w:hint="eastAsia" w:ascii="宋体" w:hAnsi="宋体"/>
                          <w:szCs w:val="21"/>
                          <w:highlight w:val="none"/>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hAnsi="宋体"/>
                          <w:szCs w:val="21"/>
                          <w:highlight w:val="non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（参评人不是法定代表人</w:t>
      </w:r>
      <w:r>
        <w:rPr>
          <w:rFonts w:hint="eastAsia" w:ascii="宋体" w:hAnsi="宋体" w:eastAsia="宋体" w:cs="宋体"/>
          <w:bCs/>
          <w:sz w:val="24"/>
          <w:highlight w:val="none"/>
          <w:lang w:val="en-US" w:eastAsia="zh-CN"/>
        </w:rPr>
        <w:t>/负责人时提供</w:t>
      </w:r>
      <w:r>
        <w:rPr>
          <w:rFonts w:hint="eastAsia" w:ascii="宋体" w:hAnsi="宋体" w:eastAsia="宋体" w:cs="宋体"/>
          <w:bCs/>
          <w:sz w:val="24"/>
          <w:highlight w:val="none"/>
          <w:lang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ind w:left="0" w:leftChars="0" w:firstLine="0" w:firstLineChars="0"/>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车载空调监管系统采购项目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
          <w:bCs w:val="0"/>
          <w:sz w:val="24"/>
          <w:highlight w:val="none"/>
        </w:rPr>
        <w:t>（</w:t>
      </w:r>
      <w:r>
        <w:rPr>
          <w:rFonts w:hint="eastAsia" w:ascii="宋体" w:hAnsi="宋体" w:eastAsia="宋体" w:cs="宋体"/>
          <w:b/>
          <w:bCs w:val="0"/>
          <w:sz w:val="24"/>
          <w:highlight w:val="none"/>
          <w:lang w:val="en-US" w:eastAsia="zh-CN"/>
        </w:rPr>
        <w:t>盖</w:t>
      </w:r>
      <w:r>
        <w:rPr>
          <w:rFonts w:hint="eastAsia" w:ascii="宋体" w:hAnsi="宋体" w:eastAsia="宋体" w:cs="宋体"/>
          <w:b/>
          <w:bCs w:val="0"/>
          <w:sz w:val="24"/>
          <w:highlight w:val="none"/>
        </w:rPr>
        <w:t>章）</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10"/>
        <w:ind w:firstLine="960" w:firstLineChars="400"/>
        <w:rPr>
          <w:rFonts w:hint="eastAsia"/>
          <w:highlight w:val="none"/>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w:t>
      </w:r>
      <w:r>
        <w:rPr>
          <w:rFonts w:hint="eastAsia" w:ascii="宋体" w:hAnsi="宋体" w:eastAsia="宋体" w:cs="宋体"/>
          <w:b/>
          <w:bCs w:val="0"/>
          <w:sz w:val="24"/>
          <w:highlight w:val="none"/>
          <w:lang w:val="en-US" w:eastAsia="zh-CN"/>
        </w:rPr>
        <w:t>/负责人</w:t>
      </w:r>
      <w:r>
        <w:rPr>
          <w:rFonts w:hint="eastAsia" w:ascii="宋体" w:hAnsi="宋体" w:eastAsia="宋体" w:cs="宋体"/>
          <w:b/>
          <w:bCs w:val="0"/>
          <w:sz w:val="24"/>
          <w:highlight w:val="none"/>
        </w:rPr>
        <w:t>，则本委托书不适用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ind w:firstLine="0" w:firstLineChars="0"/>
                              <w:jc w:val="both"/>
                              <w:rPr>
                                <w:rFonts w:hint="eastAsia" w:ascii="宋体" w:hAnsi="宋体"/>
                                <w:szCs w:val="21"/>
                                <w:lang w:val="en-US" w:eastAsia="zh-CN"/>
                              </w:rPr>
                            </w:pPr>
                          </w:p>
                          <w:p>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ind w:firstLine="0" w:firstLineChars="0"/>
                        <w:jc w:val="both"/>
                        <w:rPr>
                          <w:rFonts w:hint="eastAsia" w:ascii="宋体" w:hAnsi="宋体"/>
                          <w:szCs w:val="21"/>
                          <w:lang w:val="en-US" w:eastAsia="zh-CN"/>
                        </w:rPr>
                      </w:pPr>
                    </w:p>
                    <w:p>
                      <w:pPr>
                        <w:jc w:val="center"/>
                        <w:rPr>
                          <w:rFonts w:ascii="宋体" w:hAnsi="宋体"/>
                          <w:szCs w:val="21"/>
                          <w:highlight w:val="none"/>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highlight w:val="none"/>
                        </w:rPr>
                        <w:t>反面</w:t>
                      </w:r>
                      <w:r>
                        <w:rPr>
                          <w:rFonts w:hint="eastAsia" w:ascii="宋体" w:hAnsi="宋体"/>
                          <w:szCs w:val="21"/>
                          <w:highlight w:val="none"/>
                          <w:lang w:eastAsia="zh-CN"/>
                        </w:rPr>
                        <w:t>，</w:t>
                      </w:r>
                      <w:r>
                        <w:rPr>
                          <w:rFonts w:hint="eastAsia" w:ascii="宋体" w:hAnsi="宋体"/>
                          <w:b/>
                          <w:bCs/>
                          <w:szCs w:val="21"/>
                          <w:highlight w:val="none"/>
                          <w:lang w:val="en-US" w:eastAsia="zh-CN"/>
                        </w:rPr>
                        <w:t>加盖公章</w:t>
                      </w:r>
                      <w:r>
                        <w:rPr>
                          <w:rFonts w:ascii="宋体" w:hAnsi="宋体"/>
                          <w:szCs w:val="21"/>
                          <w:highlight w:val="none"/>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格式2 营业执照复印件（加盖公章）</w:t>
      </w:r>
      <w:bookmarkStart w:id="2" w:name="_GoBack"/>
      <w:bookmarkEnd w:id="2"/>
    </w:p>
    <w:p>
      <w:pPr>
        <w:rPr>
          <w:rFonts w:hint="eastAsia" w:ascii="宋体" w:hAnsi="宋体" w:eastAsia="宋体" w:cs="宋体"/>
          <w:b w:val="0"/>
          <w:bCs w:val="0"/>
          <w:sz w:val="24"/>
          <w:highlight w:val="none"/>
          <w:lang w:val="en-US" w:eastAsia="zh-CN"/>
        </w:rPr>
      </w:pPr>
    </w:p>
    <w:p>
      <w:pPr>
        <w:pStyle w:val="1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pStyle w:val="1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“信用中国”网站“失信被执行人”查询结果（加盖公章）</w:t>
      </w:r>
    </w:p>
    <w:p>
      <w:pPr>
        <w:pStyle w:val="10"/>
        <w:jc w:val="left"/>
        <w:rPr>
          <w:rFonts w:hint="eastAsia" w:ascii="宋体" w:hAnsi="宋体" w:eastAsia="宋体" w:cs="宋体"/>
          <w:b w:val="0"/>
          <w:bCs w:val="0"/>
          <w:sz w:val="24"/>
          <w:szCs w:val="24"/>
          <w:highlight w:val="none"/>
          <w:lang w:val="en-US" w:eastAsia="zh-CN"/>
        </w:rPr>
      </w:pPr>
    </w:p>
    <w:p>
      <w:pPr>
        <w:pStyle w:val="10"/>
        <w:jc w:val="left"/>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（未被列入“信用中国”网站(www.creditchina.gov.cn)“失信被执行人”如相关失信记录已失效，供应商需提供相关证明资料）</w:t>
      </w:r>
    </w:p>
    <w:p>
      <w:pPr>
        <w:pStyle w:val="10"/>
        <w:rPr>
          <w:rFonts w:hint="eastAsia" w:ascii="宋体" w:hAnsi="宋体" w:eastAsia="宋体" w:cs="宋体"/>
          <w:b/>
          <w:bCs/>
          <w:sz w:val="24"/>
          <w:highlight w:val="none"/>
          <w:lang w:val="en-US" w:eastAsia="zh-CN"/>
        </w:rPr>
      </w:pPr>
    </w:p>
    <w:p>
      <w:pPr>
        <w:pStyle w:val="10"/>
        <w:rPr>
          <w:rFonts w:hint="eastAsia" w:ascii="宋体" w:hAnsi="宋体" w:eastAsia="宋体" w:cs="宋体"/>
          <w:b/>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ind w:left="0" w:lef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br w:type="page"/>
      </w:r>
      <w:r>
        <w:rPr>
          <w:rFonts w:hint="eastAsia" w:ascii="宋体" w:hAnsi="宋体" w:eastAsia="宋体" w:cs="宋体"/>
          <w:b/>
          <w:bCs/>
          <w:sz w:val="24"/>
          <w:highlight w:val="none"/>
          <w:lang w:val="en-US" w:eastAsia="zh-CN"/>
        </w:rPr>
        <w:t xml:space="preserve">    格式4 </w:t>
      </w:r>
      <w:r>
        <w:rPr>
          <w:rFonts w:hint="eastAsia" w:ascii="宋体" w:hAnsi="宋体" w:eastAsia="宋体" w:cs="宋体"/>
          <w:b/>
          <w:bCs/>
          <w:sz w:val="24"/>
          <w:highlight w:val="none"/>
        </w:rPr>
        <w:t>报价表</w:t>
      </w:r>
    </w:p>
    <w:p>
      <w:pPr>
        <w:keepNext w:val="0"/>
        <w:keepLines w:val="0"/>
        <w:pageBreakBefore w:val="0"/>
        <w:widowControl w:val="0"/>
        <w:tabs>
          <w:tab w:val="left" w:pos="900"/>
        </w:tabs>
        <w:kinsoku/>
        <w:wordWrap w:val="0"/>
        <w:overflowPunct/>
        <w:topLinePunct w:val="0"/>
        <w:autoSpaceDE/>
        <w:autoSpaceDN/>
        <w:bidi w:val="0"/>
        <w:spacing w:line="560" w:lineRule="exact"/>
        <w:ind w:left="0" w:leftChars="0" w:firstLine="0" w:firstLineChars="0"/>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车载空调监管系统</w:t>
      </w:r>
      <w:r>
        <w:rPr>
          <w:rFonts w:hint="eastAsia" w:ascii="宋体" w:hAnsi="宋体" w:eastAsia="宋体" w:cs="宋体"/>
          <w:b/>
          <w:bCs/>
          <w:sz w:val="22"/>
          <w:szCs w:val="22"/>
          <w:highlight w:val="none"/>
          <w:lang w:val="en-US" w:eastAsia="zh-CN"/>
        </w:rPr>
        <w:t>采购项目</w:t>
      </w:r>
    </w:p>
    <w:tbl>
      <w:tblPr>
        <w:tblStyle w:val="7"/>
        <w:tblW w:w="4998" w:type="pct"/>
        <w:jc w:val="center"/>
        <w:tblLayout w:type="autofit"/>
        <w:tblCellMar>
          <w:top w:w="0" w:type="dxa"/>
          <w:left w:w="0" w:type="dxa"/>
          <w:bottom w:w="0" w:type="dxa"/>
          <w:right w:w="0" w:type="dxa"/>
        </w:tblCellMar>
      </w:tblPr>
      <w:tblGrid>
        <w:gridCol w:w="2137"/>
        <w:gridCol w:w="645"/>
        <w:gridCol w:w="645"/>
        <w:gridCol w:w="2851"/>
        <w:gridCol w:w="2055"/>
      </w:tblGrid>
      <w:tr>
        <w:tblPrEx>
          <w:tblCellMar>
            <w:top w:w="0" w:type="dxa"/>
            <w:left w:w="0" w:type="dxa"/>
            <w:bottom w:w="0" w:type="dxa"/>
            <w:right w:w="0" w:type="dxa"/>
          </w:tblCellMar>
        </w:tblPrEx>
        <w:trPr>
          <w:trHeight w:val="560" w:hRule="atLeast"/>
          <w:jc w:val="center"/>
        </w:trPr>
        <w:tc>
          <w:tcPr>
            <w:tcW w:w="1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货物名称</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数量</w:t>
            </w:r>
          </w:p>
        </w:tc>
        <w:tc>
          <w:tcPr>
            <w:tcW w:w="1710"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供货</w:t>
            </w:r>
            <w:r>
              <w:rPr>
                <w:rFonts w:hint="eastAsia" w:ascii="宋体" w:hAnsi="宋体" w:eastAsia="宋体" w:cs="宋体"/>
                <w:b/>
                <w:bCs/>
                <w:color w:val="auto"/>
                <w:sz w:val="21"/>
                <w:szCs w:val="21"/>
                <w:highlight w:val="none"/>
              </w:rPr>
              <w:t>单价（元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rPr>
              <w:t>）</w:t>
            </w:r>
          </w:p>
        </w:tc>
        <w:tc>
          <w:tcPr>
            <w:tcW w:w="1233"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质保期</w:t>
            </w:r>
          </w:p>
        </w:tc>
      </w:tr>
      <w:tr>
        <w:tblPrEx>
          <w:tblCellMar>
            <w:top w:w="0" w:type="dxa"/>
            <w:left w:w="0" w:type="dxa"/>
            <w:bottom w:w="0" w:type="dxa"/>
            <w:right w:w="0" w:type="dxa"/>
          </w:tblCellMar>
        </w:tblPrEx>
        <w:trPr>
          <w:trHeight w:val="880" w:hRule="atLeast"/>
          <w:jc w:val="center"/>
        </w:trPr>
        <w:tc>
          <w:tcPr>
            <w:tcW w:w="1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lang w:val="en-US" w:eastAsia="zh-CN"/>
              </w:rPr>
              <w:t>车载空调监管系统</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套</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w:t>
            </w:r>
          </w:p>
        </w:tc>
        <w:tc>
          <w:tcPr>
            <w:tcW w:w="1710"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大写：人民币</w:t>
            </w:r>
            <w:r>
              <w:rPr>
                <w:rFonts w:hint="eastAsia" w:ascii="宋体" w:hAnsi="宋体" w:eastAsia="宋体" w:cs="宋体"/>
                <w:i w:val="0"/>
                <w:iCs w:val="0"/>
                <w:color w:val="000000"/>
                <w:kern w:val="2"/>
                <w:sz w:val="21"/>
                <w:szCs w:val="21"/>
                <w:highlight w:val="none"/>
                <w:u w:val="singl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小写：¥</w:t>
            </w:r>
            <w:r>
              <w:rPr>
                <w:rFonts w:hint="eastAsia" w:ascii="宋体" w:hAnsi="宋体" w:eastAsia="宋体" w:cs="宋体"/>
                <w:i w:val="0"/>
                <w:iCs w:val="0"/>
                <w:color w:val="000000"/>
                <w:kern w:val="2"/>
                <w:sz w:val="21"/>
                <w:szCs w:val="21"/>
                <w:highlight w:val="none"/>
                <w:u w:val="single"/>
                <w:lang w:val="en-US" w:eastAsia="zh-CN" w:bidi="ar-SA"/>
              </w:rPr>
              <w:t xml:space="preserve">                   </w:t>
            </w:r>
          </w:p>
        </w:tc>
        <w:tc>
          <w:tcPr>
            <w:tcW w:w="1233"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自合同签订之日起</w:t>
            </w:r>
            <w:r>
              <w:rPr>
                <w:rFonts w:hint="eastAsia" w:ascii="宋体" w:hAnsi="宋体" w:eastAsia="宋体" w:cs="宋体"/>
                <w:b w:val="0"/>
                <w:bCs w:val="0"/>
                <w:i w:val="0"/>
                <w:iCs w:val="0"/>
                <w:color w:val="000000"/>
                <w:kern w:val="2"/>
                <w:sz w:val="21"/>
                <w:szCs w:val="21"/>
                <w:highlight w:val="none"/>
                <w:u w:val="single"/>
                <w:lang w:val="en-US" w:eastAsia="zh-CN" w:bidi="ar-SA"/>
              </w:rPr>
              <w:t xml:space="preserve">   </w:t>
            </w:r>
            <w:r>
              <w:rPr>
                <w:rFonts w:hint="eastAsia" w:ascii="宋体" w:hAnsi="宋体" w:eastAsia="宋体" w:cs="宋体"/>
                <w:b w:val="0"/>
                <w:bCs w:val="0"/>
                <w:i w:val="0"/>
                <w:iCs w:val="0"/>
                <w:color w:val="000000"/>
                <w:kern w:val="2"/>
                <w:sz w:val="21"/>
                <w:szCs w:val="21"/>
                <w:highlight w:val="none"/>
                <w:u w:val="none"/>
                <w:lang w:val="en-US" w:eastAsia="zh-CN" w:bidi="ar-SA"/>
              </w:rPr>
              <w:t>个自然月</w:t>
            </w:r>
          </w:p>
        </w:tc>
      </w:tr>
    </w:tbl>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注：</w:t>
      </w:r>
    </w:p>
    <w:p>
      <w:pPr>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报价表</w:t>
      </w:r>
      <w:r>
        <w:rPr>
          <w:rFonts w:hint="eastAsia"/>
          <w:sz w:val="24"/>
          <w:szCs w:val="24"/>
          <w:highlight w:val="none"/>
        </w:rPr>
        <w:t>中的大写金额和小写金额不一致的，</w:t>
      </w:r>
      <w:r>
        <w:rPr>
          <w:rFonts w:hint="eastAsia"/>
          <w:sz w:val="24"/>
          <w:szCs w:val="24"/>
          <w:highlight w:val="none"/>
          <w:lang w:val="en-US" w:eastAsia="zh-CN"/>
        </w:rPr>
        <w:t>报价单无效</w:t>
      </w:r>
      <w:r>
        <w:rPr>
          <w:rFonts w:hint="eastAsia"/>
          <w:sz w:val="24"/>
          <w:szCs w:val="24"/>
          <w:highlight w:val="none"/>
        </w:rPr>
        <w:t>。</w:t>
      </w:r>
    </w:p>
    <w:p>
      <w:pPr>
        <w:rPr>
          <w:rFonts w:hint="eastAsia"/>
          <w:sz w:val="24"/>
          <w:szCs w:val="24"/>
          <w:highlight w:val="none"/>
          <w:lang w:val="en-US" w:eastAsia="zh-CN"/>
        </w:rPr>
      </w:pPr>
      <w:r>
        <w:rPr>
          <w:rFonts w:hint="eastAsia"/>
          <w:sz w:val="24"/>
          <w:szCs w:val="24"/>
          <w:highlight w:val="none"/>
          <w:lang w:val="en-US" w:eastAsia="zh-CN"/>
        </w:rPr>
        <w:t>2、报价表</w:t>
      </w:r>
      <w:r>
        <w:rPr>
          <w:rFonts w:hint="eastAsia"/>
          <w:sz w:val="24"/>
          <w:szCs w:val="24"/>
          <w:highlight w:val="none"/>
        </w:rPr>
        <w:t>中</w:t>
      </w:r>
      <w:r>
        <w:rPr>
          <w:rFonts w:hint="eastAsia"/>
          <w:sz w:val="24"/>
          <w:szCs w:val="24"/>
          <w:highlight w:val="none"/>
          <w:lang w:val="en-US" w:eastAsia="zh-CN"/>
        </w:rPr>
        <w:t>需同时报出供货单价及质保期</w:t>
      </w:r>
      <w:r>
        <w:rPr>
          <w:rFonts w:hint="eastAsia"/>
          <w:sz w:val="24"/>
          <w:szCs w:val="24"/>
          <w:highlight w:val="none"/>
        </w:rPr>
        <w:t>，</w:t>
      </w:r>
      <w:r>
        <w:rPr>
          <w:rFonts w:hint="eastAsia"/>
          <w:sz w:val="24"/>
          <w:szCs w:val="24"/>
          <w:highlight w:val="none"/>
          <w:lang w:val="en-US" w:eastAsia="zh-CN"/>
        </w:rPr>
        <w:t>漏报其一的，报价单无效</w:t>
      </w:r>
      <w:r>
        <w:rPr>
          <w:rFonts w:hint="eastAsia"/>
          <w:sz w:val="24"/>
          <w:szCs w:val="24"/>
          <w:highlight w:val="none"/>
        </w:rPr>
        <w:t>。</w:t>
      </w:r>
    </w:p>
    <w:p>
      <w:pPr>
        <w:rPr>
          <w:rFonts w:hint="eastAsia"/>
          <w:sz w:val="24"/>
          <w:szCs w:val="24"/>
          <w:highlight w:val="none"/>
        </w:rPr>
      </w:pPr>
      <w:r>
        <w:rPr>
          <w:rFonts w:hint="eastAsia"/>
          <w:sz w:val="24"/>
          <w:szCs w:val="24"/>
          <w:highlight w:val="none"/>
          <w:lang w:val="en-US" w:eastAsia="zh-CN"/>
        </w:rPr>
        <w:t>3、本报价表价格自响应</w:t>
      </w:r>
      <w:r>
        <w:rPr>
          <w:rFonts w:hint="eastAsia"/>
          <w:sz w:val="24"/>
          <w:szCs w:val="24"/>
          <w:highlight w:val="none"/>
        </w:rPr>
        <w:t>截止</w:t>
      </w:r>
      <w:r>
        <w:rPr>
          <w:rFonts w:hint="eastAsia"/>
          <w:sz w:val="24"/>
          <w:szCs w:val="24"/>
          <w:highlight w:val="none"/>
          <w:lang w:val="en-US" w:eastAsia="zh-CN"/>
        </w:rPr>
        <w:t>之</w:t>
      </w:r>
      <w:r>
        <w:rPr>
          <w:rFonts w:hint="eastAsia"/>
          <w:sz w:val="24"/>
          <w:szCs w:val="24"/>
          <w:highlight w:val="none"/>
        </w:rPr>
        <w:t>日后</w:t>
      </w:r>
      <w:r>
        <w:rPr>
          <w:rFonts w:hint="eastAsia"/>
          <w:sz w:val="24"/>
          <w:szCs w:val="24"/>
          <w:highlight w:val="none"/>
          <w:lang w:val="en-US" w:eastAsia="zh-CN"/>
        </w:rPr>
        <w:t>90</w:t>
      </w:r>
      <w:r>
        <w:rPr>
          <w:rFonts w:hint="eastAsia"/>
          <w:sz w:val="24"/>
          <w:szCs w:val="24"/>
          <w:highlight w:val="none"/>
        </w:rPr>
        <w:t>天内有效。</w:t>
      </w:r>
    </w:p>
    <w:p>
      <w:pPr>
        <w:pStyle w:val="6"/>
        <w:rPr>
          <w:rFonts w:hint="eastAsia"/>
          <w:highlight w:val="none"/>
        </w:rPr>
      </w:pPr>
    </w:p>
    <w:p>
      <w:pPr>
        <w:rPr>
          <w:rFonts w:hint="eastAsia"/>
          <w:highlight w:val="none"/>
          <w:lang w:val="en-US" w:eastAsia="zh-CN"/>
        </w:rPr>
      </w:pPr>
    </w:p>
    <w:p>
      <w:pPr>
        <w:rPr>
          <w:rFonts w:hint="eastAsia"/>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p>
      <w:pPr>
        <w:pStyle w:val="11"/>
        <w:numPr>
          <w:ilvl w:val="-1"/>
          <w:numId w:val="0"/>
        </w:numPr>
        <w:spacing w:before="0" w:after="0" w:line="360" w:lineRule="auto"/>
        <w:ind w:firstLine="0"/>
        <w:jc w:val="both"/>
        <w:outlineLvl w:val="1"/>
        <w:rPr>
          <w:rFonts w:hint="eastAsia" w:ascii="宋体" w:hAnsi="宋体" w:eastAsia="宋体" w:cs="宋体"/>
          <w:b/>
          <w:bCs/>
          <w:spacing w:val="0"/>
          <w:sz w:val="24"/>
          <w:highlight w:val="none"/>
          <w:lang w:val="en-US" w:eastAsia="zh-CN"/>
        </w:rPr>
      </w:pPr>
    </w:p>
    <w:p>
      <w:pPr>
        <w:pStyle w:val="11"/>
        <w:numPr>
          <w:ilvl w:val="-1"/>
          <w:numId w:val="0"/>
        </w:numPr>
        <w:spacing w:before="0" w:after="0" w:line="360" w:lineRule="auto"/>
        <w:ind w:firstLine="0"/>
        <w:jc w:val="both"/>
        <w:outlineLvl w:val="1"/>
        <w:rPr>
          <w:rFonts w:hint="eastAsia" w:ascii="宋体" w:hAnsi="宋体" w:eastAsia="宋体" w:cs="宋体"/>
          <w:b/>
          <w:bCs/>
          <w:spacing w:val="0"/>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参评供应商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lang w:val="en-US" w:eastAsia="zh-CN"/>
        </w:rPr>
        <w:t>车载空调监管系统采购项目</w:t>
      </w:r>
      <w:r>
        <w:rPr>
          <w:rFonts w:hint="eastAsia" w:ascii="宋体" w:hAnsi="宋体" w:eastAsia="宋体" w:cs="宋体"/>
          <w:bCs/>
          <w:sz w:val="24"/>
          <w:highlight w:val="none"/>
          <w:u w:val="none"/>
          <w:lang w:eastAsia="zh-CN"/>
        </w:rPr>
        <w:t>》</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评选报价</w:t>
      </w:r>
      <w:r>
        <w:rPr>
          <w:rFonts w:hint="eastAsia" w:ascii="宋体" w:hAnsi="宋体" w:eastAsia="宋体" w:cs="宋体"/>
          <w:bCs/>
          <w:sz w:val="24"/>
          <w:highlight w:val="none"/>
        </w:rPr>
        <w:t>。</w:t>
      </w:r>
    </w:p>
    <w:p>
      <w:pPr>
        <w:pStyle w:val="6"/>
        <w:keepNext w:val="0"/>
        <w:keepLines w:val="0"/>
        <w:pageBreakBefore w:val="0"/>
        <w:widowControl w:val="0"/>
        <w:numPr>
          <w:ilvl w:val="0"/>
          <w:numId w:val="2"/>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愿意按照贵方询价文件中的一切要求，提供相关服务。</w:t>
      </w:r>
    </w:p>
    <w:p>
      <w:pPr>
        <w:pStyle w:val="6"/>
        <w:keepNext w:val="0"/>
        <w:keepLines w:val="0"/>
        <w:pageBreakBefore w:val="0"/>
        <w:widowControl w:val="0"/>
        <w:numPr>
          <w:ilvl w:val="0"/>
          <w:numId w:val="2"/>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我方已详细研究询价文件的所有内容，包括修改文件(如有)和所有已收到的参考资料以及有关附件(如有)，并完全明白。我方放弃在此方面提出不明或误解的一切权利。</w:t>
      </w:r>
    </w:p>
    <w:p>
      <w:pPr>
        <w:pStyle w:val="6"/>
        <w:keepNext w:val="0"/>
        <w:keepLines w:val="0"/>
        <w:pageBreakBefore w:val="0"/>
        <w:widowControl w:val="0"/>
        <w:numPr>
          <w:ilvl w:val="0"/>
          <w:numId w:val="2"/>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我方同意按照贵方可能提出的要求而提供与参评有关的任何其它资料、数据或信息，并对资料的真实性负责，如承诺不实，我公司愿意承担相应责任。</w:t>
      </w:r>
    </w:p>
    <w:p>
      <w:pPr>
        <w:pStyle w:val="6"/>
        <w:keepNext w:val="0"/>
        <w:keepLines w:val="0"/>
        <w:pageBreakBefore w:val="0"/>
        <w:widowControl w:val="0"/>
        <w:numPr>
          <w:ilvl w:val="0"/>
          <w:numId w:val="2"/>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我方如果中选，将按照贵方询价文件及其修改文件（如有）的要求及我方参评承诺，按质、按量、按期履行全部</w:t>
      </w:r>
      <w:r>
        <w:rPr>
          <w:rFonts w:hint="eastAsia" w:ascii="宋体" w:hAnsi="宋体" w:eastAsia="宋体" w:cs="宋体"/>
          <w:bCs/>
          <w:sz w:val="24"/>
          <w:highlight w:val="none"/>
          <w:lang w:val="en-US" w:eastAsia="zh-CN"/>
        </w:rPr>
        <w:t>合同</w:t>
      </w:r>
      <w:r>
        <w:rPr>
          <w:rFonts w:hint="eastAsia" w:ascii="宋体" w:hAnsi="宋体" w:eastAsia="宋体" w:cs="宋体"/>
          <w:bCs/>
          <w:sz w:val="24"/>
          <w:highlight w:val="none"/>
        </w:rPr>
        <w:t>责任和义务。</w:t>
      </w:r>
    </w:p>
    <w:p>
      <w:pPr>
        <w:pStyle w:val="6"/>
        <w:keepNext w:val="0"/>
        <w:keepLines w:val="0"/>
        <w:pageBreakBefore w:val="0"/>
        <w:widowControl w:val="0"/>
        <w:numPr>
          <w:ilvl w:val="0"/>
          <w:numId w:val="2"/>
        </w:numPr>
        <w:kinsoku/>
        <w:wordWrap w:val="0"/>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我方保证</w:t>
      </w:r>
      <w:r>
        <w:rPr>
          <w:rFonts w:hint="eastAsia" w:ascii="宋体" w:hAnsi="宋体" w:eastAsia="宋体" w:cs="宋体"/>
          <w:b/>
          <w:bCs w:val="0"/>
          <w:sz w:val="24"/>
          <w:highlight w:val="none"/>
          <w:lang w:val="en-US" w:eastAsia="zh-CN"/>
        </w:rPr>
        <w:t>参与贵方</w:t>
      </w:r>
      <w:r>
        <w:rPr>
          <w:rFonts w:hint="eastAsia" w:ascii="宋体" w:hAnsi="宋体" w:eastAsia="宋体" w:cs="宋体"/>
          <w:b/>
          <w:bCs w:val="0"/>
          <w:sz w:val="24"/>
          <w:highlight w:val="none"/>
        </w:rPr>
        <w:t>本次招标采购活动，具备独立实施能力，属于非联合体投标参评，如若中选本项目，绝不分包、转包。如承诺不实，我公司愿意承担相应责任。</w:t>
      </w:r>
    </w:p>
    <w:p>
      <w:pPr>
        <w:pStyle w:val="6"/>
        <w:keepNext w:val="0"/>
        <w:keepLines w:val="0"/>
        <w:pageBreakBefore w:val="0"/>
        <w:widowControl w:val="0"/>
        <w:numPr>
          <w:ilvl w:val="0"/>
          <w:numId w:val="2"/>
        </w:numPr>
        <w:kinsoku/>
        <w:wordWrap w:val="0"/>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参评文件有效期：响应截止之日后90天内有效。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p>
      <w:pPr>
        <w:keepNext w:val="0"/>
        <w:keepLines w:val="0"/>
        <w:pageBreakBefore w:val="0"/>
        <w:tabs>
          <w:tab w:val="left" w:pos="900"/>
        </w:tabs>
        <w:kinsoku/>
        <w:wordWrap w:val="0"/>
        <w:overflowPunct/>
        <w:topLinePunct w:val="0"/>
        <w:bidi w:val="0"/>
        <w:spacing w:line="560" w:lineRule="exact"/>
        <w:ind w:firstLine="3360" w:firstLineChars="1400"/>
        <w:jc w:val="both"/>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11"/>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highlight w:val="none"/>
          <w:lang w:val="en-US" w:eastAsia="zh-CN"/>
        </w:rPr>
        <w:t xml:space="preserve">格式6  </w:t>
      </w:r>
      <w:r>
        <w:rPr>
          <w:rFonts w:hint="eastAsia" w:ascii="宋体" w:hAnsi="宋体" w:eastAsia="宋体" w:cs="宋体"/>
          <w:b/>
          <w:bCs/>
          <w:spacing w:val="0"/>
          <w:sz w:val="24"/>
          <w:szCs w:val="24"/>
          <w:highlight w:val="none"/>
          <w:lang w:eastAsia="zh-CN"/>
        </w:rPr>
        <w:t>关键需求响应表</w:t>
      </w:r>
    </w:p>
    <w:p>
      <w:pPr>
        <w:pStyle w:val="11"/>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p>
    <w:p>
      <w:pPr>
        <w:pStyle w:val="11"/>
        <w:numPr>
          <w:ilvl w:val="-1"/>
          <w:numId w:val="0"/>
        </w:numPr>
        <w:spacing w:before="0" w:after="0" w:line="360" w:lineRule="auto"/>
        <w:ind w:firstLine="0"/>
        <w:jc w:val="center"/>
        <w:outlineLvl w:val="1"/>
        <w:rPr>
          <w:rFonts w:hint="eastAsia" w:ascii="宋体" w:hAnsi="宋体" w:eastAsia="宋体" w:cs="宋体"/>
          <w:b/>
          <w:bCs/>
          <w:spacing w:val="0"/>
          <w:sz w:val="30"/>
          <w:szCs w:val="30"/>
          <w:highlight w:val="none"/>
          <w:lang w:eastAsia="zh-CN"/>
        </w:rPr>
      </w:pPr>
      <w:r>
        <w:rPr>
          <w:rFonts w:hint="eastAsia" w:ascii="宋体" w:hAnsi="宋体" w:eastAsia="宋体" w:cs="宋体"/>
          <w:b/>
          <w:bCs/>
          <w:spacing w:val="0"/>
          <w:sz w:val="30"/>
          <w:szCs w:val="30"/>
          <w:highlight w:val="none"/>
          <w:lang w:eastAsia="zh-CN"/>
        </w:rPr>
        <w:t>关键需求响应表</w:t>
      </w:r>
    </w:p>
    <w:p>
      <w:pPr>
        <w:pStyle w:val="11"/>
        <w:numPr>
          <w:ilvl w:val="-1"/>
          <w:numId w:val="0"/>
        </w:numPr>
        <w:spacing w:before="0" w:after="0" w:line="360" w:lineRule="auto"/>
        <w:ind w:firstLine="0"/>
        <w:jc w:val="left"/>
        <w:outlineLvl w:val="1"/>
        <w:rPr>
          <w:rFonts w:hint="eastAsia" w:ascii="宋体" w:hAnsi="宋体" w:eastAsia="宋体" w:cs="宋体"/>
          <w:b/>
          <w:bCs/>
          <w:spacing w:val="0"/>
          <w:sz w:val="30"/>
          <w:szCs w:val="30"/>
          <w:highlight w:val="none"/>
          <w:lang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车载空调监管系统</w:t>
      </w:r>
      <w:r>
        <w:rPr>
          <w:rFonts w:hint="eastAsia" w:ascii="宋体" w:hAnsi="宋体" w:eastAsia="宋体" w:cs="宋体"/>
          <w:b/>
          <w:bCs/>
          <w:sz w:val="22"/>
          <w:szCs w:val="22"/>
          <w:highlight w:val="none"/>
          <w:lang w:val="en-US" w:eastAsia="zh-CN"/>
        </w:rPr>
        <w:t>采购项目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43"/>
        <w:gridCol w:w="3790"/>
        <w:gridCol w:w="1422"/>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序号</w:t>
            </w:r>
          </w:p>
        </w:tc>
        <w:tc>
          <w:tcPr>
            <w:tcW w:w="4533" w:type="dxa"/>
            <w:gridSpan w:val="2"/>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评审文件条款</w:t>
            </w:r>
          </w:p>
        </w:tc>
        <w:tc>
          <w:tcPr>
            <w:tcW w:w="1422" w:type="dxa"/>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是否响应（完全响应</w:t>
            </w:r>
            <w:r>
              <w:rPr>
                <w:rFonts w:hint="eastAsia" w:ascii="宋体" w:hAnsi="宋体" w:eastAsia="宋体" w:cs="宋体"/>
                <w:b/>
                <w:bCs/>
                <w:spacing w:val="0"/>
                <w:sz w:val="24"/>
                <w:szCs w:val="24"/>
                <w:highlight w:val="none"/>
                <w:vertAlign w:val="baseline"/>
                <w:lang w:val="en-US" w:eastAsia="zh-CN"/>
              </w:rPr>
              <w:t>/部分响应/不响应</w:t>
            </w:r>
            <w:r>
              <w:rPr>
                <w:rFonts w:hint="eastAsia" w:ascii="宋体" w:hAnsi="宋体" w:eastAsia="宋体" w:cs="宋体"/>
                <w:b/>
                <w:bCs/>
                <w:spacing w:val="0"/>
                <w:sz w:val="24"/>
                <w:szCs w:val="24"/>
                <w:highlight w:val="none"/>
                <w:vertAlign w:val="baseline"/>
                <w:lang w:eastAsia="zh-CN"/>
              </w:rPr>
              <w:t>）</w:t>
            </w:r>
          </w:p>
        </w:tc>
        <w:tc>
          <w:tcPr>
            <w:tcW w:w="1831" w:type="dxa"/>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eastAsia="zh-CN"/>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w:t>
            </w:r>
          </w:p>
        </w:tc>
        <w:tc>
          <w:tcPr>
            <w:tcW w:w="743" w:type="dxa"/>
            <w:vMerge w:val="restart"/>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val="en-US" w:eastAsia="zh-CN"/>
              </w:rPr>
              <w:t>★系统设置</w:t>
            </w: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1、角色管理</w:t>
            </w:r>
          </w:p>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eastAsia="zh-CN"/>
              </w:rPr>
            </w:pPr>
            <w:r>
              <w:rPr>
                <w:rFonts w:hint="eastAsia" w:ascii="宋体" w:hAnsi="宋体" w:eastAsia="宋体" w:cs="宋体"/>
                <w:b w:val="0"/>
                <w:bCs w:val="0"/>
                <w:spacing w:val="0"/>
                <w:sz w:val="24"/>
                <w:szCs w:val="24"/>
                <w:highlight w:val="none"/>
                <w:vertAlign w:val="baseline"/>
                <w:lang w:val="en-US" w:eastAsia="zh-CN"/>
              </w:rPr>
              <w:t>用于管理帐号所属角色及为角色分配的各个功能模块的操作的权限。</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2</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2、组织管理</w:t>
            </w:r>
          </w:p>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eastAsia="zh-CN"/>
              </w:rPr>
            </w:pPr>
            <w:r>
              <w:rPr>
                <w:rFonts w:hint="eastAsia" w:ascii="宋体" w:hAnsi="宋体" w:eastAsia="宋体" w:cs="宋体"/>
                <w:b w:val="0"/>
                <w:bCs w:val="0"/>
                <w:spacing w:val="0"/>
                <w:sz w:val="24"/>
                <w:szCs w:val="24"/>
                <w:highlight w:val="none"/>
                <w:vertAlign w:val="baseline"/>
                <w:lang w:val="en-US" w:eastAsia="zh-CN"/>
              </w:rPr>
              <w:t>用于管理组织架构信息，信息包括组织编号，组织名称，每个组织有独立的组织编号。组织架构信息主要用于对帐号所能查看、操作的数据范围做划分。</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3</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val="0"/>
                <w:bCs w:val="0"/>
                <w:sz w:val="24"/>
                <w:szCs w:val="24"/>
                <w:highlight w:val="none"/>
                <w:lang w:val="en-US"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3、账号管理</w:t>
            </w:r>
          </w:p>
          <w:p>
            <w:pPr>
              <w:pStyle w:val="11"/>
              <w:numPr>
                <w:ilvl w:val="-1"/>
                <w:numId w:val="0"/>
              </w:numPr>
              <w:spacing w:before="0" w:after="0" w:line="240" w:lineRule="auto"/>
              <w:jc w:val="both"/>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用于管理登录系统的帐号信息，主要包括对应的帐号名称、帐号密码、帐号所属角色、帐号数据操作范围（全部/本部门）、所属员工工号、所属员工姓名、员工所属组织、手机号等。</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4</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10"/>
                <w:sz w:val="24"/>
                <w:szCs w:val="24"/>
                <w:highlight w:val="none"/>
                <w:vertAlign w:val="baseline"/>
                <w:lang w:val="en-US" w:eastAsia="zh-CN"/>
              </w:rPr>
            </w:pPr>
            <w:r>
              <w:rPr>
                <w:rFonts w:hint="eastAsia" w:ascii="宋体" w:hAnsi="宋体" w:eastAsia="宋体" w:cs="宋体"/>
                <w:b/>
                <w:bCs/>
                <w:spacing w:val="10"/>
                <w:sz w:val="24"/>
                <w:szCs w:val="24"/>
                <w:highlight w:val="none"/>
                <w:vertAlign w:val="baseline"/>
                <w:lang w:val="en-US" w:eastAsia="zh-CN"/>
              </w:rPr>
              <w:t>4、日志管理</w:t>
            </w:r>
          </w:p>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val="0"/>
                <w:bCs w:val="0"/>
                <w:spacing w:val="10"/>
                <w:sz w:val="24"/>
                <w:szCs w:val="24"/>
                <w:highlight w:val="none"/>
                <w:vertAlign w:val="baseline"/>
                <w:lang w:val="en-US" w:eastAsia="zh-CN"/>
              </w:rPr>
              <w:t>用于记录每个用户的每一次登录/退出系统，以及对各项数据的增删改查日志信息。</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5</w:t>
            </w:r>
          </w:p>
        </w:tc>
        <w:tc>
          <w:tcPr>
            <w:tcW w:w="743" w:type="dxa"/>
            <w:vMerge w:val="restart"/>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val="en-US" w:eastAsia="zh-CN"/>
              </w:rPr>
              <w:t>★</w:t>
            </w:r>
            <w:r>
              <w:rPr>
                <w:rFonts w:hint="eastAsia" w:ascii="宋体" w:hAnsi="宋体" w:eastAsia="宋体" w:cs="宋体"/>
                <w:b/>
                <w:bCs/>
                <w:spacing w:val="0"/>
                <w:highlight w:val="none"/>
                <w:lang w:val="en-US" w:eastAsia="zh-CN"/>
              </w:rPr>
              <w:t>基础信息管理</w:t>
            </w: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10"/>
                <w:sz w:val="24"/>
                <w:szCs w:val="24"/>
                <w:highlight w:val="none"/>
                <w:vertAlign w:val="baseline"/>
                <w:lang w:val="en-US" w:eastAsia="zh-CN"/>
              </w:rPr>
            </w:pPr>
            <w:r>
              <w:rPr>
                <w:rFonts w:hint="eastAsia" w:ascii="宋体" w:hAnsi="宋体" w:eastAsia="宋体" w:cs="宋体"/>
                <w:b/>
                <w:bCs/>
                <w:spacing w:val="10"/>
                <w:sz w:val="24"/>
                <w:szCs w:val="24"/>
                <w:highlight w:val="none"/>
                <w:vertAlign w:val="baseline"/>
                <w:lang w:val="en-US" w:eastAsia="zh-CN"/>
              </w:rPr>
              <w:t>1、车载空调管理</w:t>
            </w:r>
          </w:p>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val="0"/>
                <w:bCs w:val="0"/>
                <w:spacing w:val="10"/>
                <w:sz w:val="24"/>
                <w:szCs w:val="24"/>
                <w:highlight w:val="none"/>
                <w:vertAlign w:val="baseline"/>
                <w:lang w:val="en-US" w:eastAsia="zh-CN"/>
              </w:rPr>
              <w:t>对接车辆基础数据、排班数据、CAN数据以及维修数据，展示车辆当前的车辆状态与空气开启情况。主要展示信息列有车牌号、组织车队、车辆状态（无排班/营运中/维修中）、空调状态（开启/关闭），点击“查看当天排班”，查看该车辆当天排班详情。页面每隔X秒更新一次。页面提供组织车队、车牌号、驾驶员、车辆状态、空调状态等条件多维度查询。</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6</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2、排班信息</w:t>
            </w:r>
          </w:p>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eastAsia="zh-CN"/>
              </w:rPr>
            </w:pPr>
            <w:r>
              <w:rPr>
                <w:rFonts w:hint="eastAsia" w:ascii="宋体" w:hAnsi="宋体" w:eastAsia="宋体" w:cs="宋体"/>
                <w:b w:val="0"/>
                <w:bCs w:val="0"/>
                <w:spacing w:val="0"/>
                <w:sz w:val="24"/>
                <w:szCs w:val="24"/>
                <w:highlight w:val="none"/>
                <w:vertAlign w:val="baseline"/>
                <w:lang w:val="en-US" w:eastAsia="zh-CN"/>
              </w:rPr>
              <w:t>对接“云调度平台”实时路单信息（809协议），获取车辆排班信息。页面提供组织车队、车牌号、驾驶员、车辆状态、空调状态等条件多维度查询。</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7</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3、规则管理</w:t>
            </w:r>
          </w:p>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eastAsia="zh-CN"/>
              </w:rPr>
            </w:pPr>
            <w:r>
              <w:rPr>
                <w:rFonts w:hint="eastAsia" w:ascii="宋体" w:hAnsi="宋体" w:eastAsia="宋体" w:cs="宋体"/>
                <w:b w:val="0"/>
                <w:bCs w:val="0"/>
                <w:spacing w:val="0"/>
                <w:sz w:val="24"/>
                <w:szCs w:val="24"/>
                <w:highlight w:val="none"/>
                <w:vertAlign w:val="baseline"/>
                <w:lang w:val="en-US" w:eastAsia="zh-CN"/>
              </w:rPr>
              <w:t>管理车载空调违规标准。标准涉及字段主要有线路、站点名称、发车前允许时间（x分钟）、到达后运行时间（y分钟）、班次间隔时间（z分钟）等。可按线路或首末站名称批量修改。</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8</w:t>
            </w:r>
          </w:p>
        </w:tc>
        <w:tc>
          <w:tcPr>
            <w:tcW w:w="743" w:type="dxa"/>
            <w:vMerge w:val="restart"/>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sz w:val="24"/>
                <w:szCs w:val="24"/>
                <w:highlight w:val="none"/>
                <w:vertAlign w:val="baseline"/>
                <w:lang w:val="en-US" w:eastAsia="zh-CN"/>
              </w:rPr>
              <w:t>★统计报表</w:t>
            </w:r>
          </w:p>
        </w:tc>
        <w:tc>
          <w:tcPr>
            <w:tcW w:w="3790" w:type="dxa"/>
          </w:tcPr>
          <w:p>
            <w:pPr>
              <w:ind w:firstLine="0" w:firstLineChars="0"/>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1、违规明细</w:t>
            </w:r>
          </w:p>
          <w:p>
            <w:pPr>
              <w:ind w:firstLine="0" w:firstLineChars="0"/>
              <w:rPr>
                <w:rFonts w:hint="eastAsia" w:ascii="宋体" w:hAnsi="宋体" w:eastAsia="宋体" w:cs="宋体"/>
                <w:b w:val="0"/>
                <w:bCs w:val="0"/>
                <w:spacing w:val="0"/>
                <w:sz w:val="24"/>
                <w:szCs w:val="24"/>
                <w:highlight w:val="none"/>
                <w:vertAlign w:val="baseline"/>
                <w:lang w:eastAsia="zh-CN"/>
              </w:rPr>
            </w:pPr>
            <w:r>
              <w:rPr>
                <w:rFonts w:hint="eastAsia" w:ascii="宋体" w:hAnsi="宋体" w:eastAsia="宋体" w:cs="宋体"/>
                <w:highlight w:val="none"/>
                <w:lang w:val="en-US" w:eastAsia="zh-CN"/>
              </w:rPr>
              <w:t>记录每一次违规对应的车辆信息、排班信息以及违规情况。</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9</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2、违规统计</w:t>
            </w:r>
          </w:p>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eastAsia="zh-CN"/>
              </w:rPr>
            </w:pPr>
            <w:r>
              <w:rPr>
                <w:rFonts w:hint="eastAsia" w:ascii="宋体" w:hAnsi="宋体" w:eastAsia="宋体" w:cs="宋体"/>
                <w:b w:val="0"/>
                <w:bCs w:val="0"/>
                <w:spacing w:val="0"/>
                <w:sz w:val="24"/>
                <w:szCs w:val="24"/>
                <w:highlight w:val="none"/>
                <w:vertAlign w:val="baseline"/>
                <w:lang w:val="en-US" w:eastAsia="zh-CN"/>
              </w:rPr>
              <w:t>以公司组织各层级统计查询时间段内的违规情况，点击“查看明细”，可查看对应的违规明细记录。</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10</w:t>
            </w:r>
          </w:p>
        </w:tc>
        <w:tc>
          <w:tcPr>
            <w:tcW w:w="743"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合同期</w:t>
            </w:r>
          </w:p>
        </w:tc>
        <w:tc>
          <w:tcPr>
            <w:tcW w:w="3790" w:type="dxa"/>
          </w:tcPr>
          <w:p>
            <w:pPr>
              <w:ind w:firstLine="0" w:firstLineChars="0"/>
              <w:rPr>
                <w:rFonts w:hint="eastAsia" w:ascii="宋体" w:hAnsi="宋体" w:eastAsia="宋体" w:cs="宋体"/>
                <w:b w:val="0"/>
                <w:bCs w:val="0"/>
                <w:spacing w:val="0"/>
                <w:sz w:val="24"/>
                <w:szCs w:val="24"/>
                <w:highlight w:val="none"/>
                <w:vertAlign w:val="baseline"/>
                <w:lang w:val="en-US" w:eastAsia="zh-CN"/>
              </w:rPr>
            </w:pPr>
            <w:r>
              <w:rPr>
                <w:rFonts w:hint="eastAsia"/>
                <w:lang w:val="en-US" w:eastAsia="zh-CN"/>
              </w:rPr>
              <w:t>自合同签订之日起，至产品质保期满之日止。</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11</w:t>
            </w:r>
          </w:p>
        </w:tc>
        <w:tc>
          <w:tcPr>
            <w:tcW w:w="743" w:type="dxa"/>
            <w:vMerge w:val="restart"/>
            <w:vAlign w:val="center"/>
          </w:tcPr>
          <w:p>
            <w:pPr>
              <w:bidi w:val="0"/>
              <w:ind w:firstLine="0" w:firstLineChars="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项目时限</w:t>
            </w:r>
          </w:p>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p>
        </w:tc>
        <w:tc>
          <w:tcPr>
            <w:tcW w:w="3790" w:type="dxa"/>
          </w:tcPr>
          <w:p>
            <w:pPr>
              <w:ind w:firstLine="0" w:firstLineChars="0"/>
              <w:rPr>
                <w:rFonts w:hint="eastAsia" w:ascii="宋体" w:hAnsi="宋体" w:eastAsia="宋体" w:cs="宋体"/>
                <w:b w:val="0"/>
                <w:bCs w:val="0"/>
                <w:spacing w:val="0"/>
                <w:sz w:val="24"/>
                <w:szCs w:val="24"/>
                <w:highlight w:val="none"/>
                <w:vertAlign w:val="baseline"/>
                <w:lang w:val="en-US" w:eastAsia="zh-CN"/>
              </w:rPr>
            </w:pPr>
            <w:r>
              <w:rPr>
                <w:rFonts w:hint="eastAsia"/>
                <w:lang w:val="en-US"/>
              </w:rPr>
              <w:t>★</w:t>
            </w:r>
            <w:r>
              <w:rPr>
                <w:rFonts w:hint="eastAsia"/>
                <w:lang w:val="en-US" w:eastAsia="zh-CN"/>
              </w:rPr>
              <w:t>1、中选人在收到中选通知之日起5个工作日完成需求对接。</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12</w:t>
            </w:r>
          </w:p>
        </w:tc>
        <w:tc>
          <w:tcPr>
            <w:tcW w:w="743" w:type="dxa"/>
            <w:vMerge w:val="continue"/>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p>
        </w:tc>
        <w:tc>
          <w:tcPr>
            <w:tcW w:w="3790" w:type="dxa"/>
          </w:tcPr>
          <w:p>
            <w:pPr>
              <w:ind w:firstLine="0" w:firstLineChars="0"/>
              <w:rPr>
                <w:rFonts w:hint="eastAsia" w:ascii="宋体" w:hAnsi="宋体" w:eastAsia="宋体" w:cs="宋体"/>
                <w:b w:val="0"/>
                <w:bCs w:val="0"/>
                <w:spacing w:val="0"/>
                <w:sz w:val="24"/>
                <w:szCs w:val="24"/>
                <w:highlight w:val="none"/>
                <w:vertAlign w:val="baseline"/>
                <w:lang w:val="en-US" w:eastAsia="zh-CN"/>
              </w:rPr>
            </w:pPr>
            <w:r>
              <w:rPr>
                <w:rFonts w:hint="eastAsia"/>
                <w:lang w:val="en-US" w:eastAsia="zh-CN"/>
              </w:rPr>
              <w:t>2、中选人在收到中选通知之日起20个工作日完成系统上线试用。</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13</w:t>
            </w:r>
          </w:p>
        </w:tc>
        <w:tc>
          <w:tcPr>
            <w:tcW w:w="743" w:type="dxa"/>
            <w:vMerge w:val="restart"/>
            <w:vAlign w:val="center"/>
          </w:tcPr>
          <w:p>
            <w:pPr>
              <w:pStyle w:val="11"/>
              <w:numPr>
                <w:ilvl w:val="-1"/>
                <w:numId w:val="0"/>
              </w:numPr>
              <w:spacing w:before="0" w:after="0" w:line="240" w:lineRule="auto"/>
              <w:jc w:val="center"/>
              <w:outlineLvl w:val="1"/>
              <w:rPr>
                <w:rFonts w:hint="eastAsia" w:ascii="宋体" w:hAnsi="宋体" w:eastAsia="宋体" w:cs="宋体"/>
                <w:b/>
                <w:bCs/>
                <w:spacing w:val="0"/>
                <w:sz w:val="24"/>
                <w:szCs w:val="24"/>
                <w:highlight w:val="none"/>
                <w:vertAlign w:val="baseline"/>
                <w:lang w:eastAsia="zh-CN"/>
              </w:rPr>
            </w:pPr>
            <w:r>
              <w:rPr>
                <w:rFonts w:hint="eastAsia" w:ascii="宋体" w:hAnsi="宋体" w:eastAsia="宋体" w:cs="宋体"/>
                <w:b/>
                <w:bCs/>
                <w:spacing w:val="0"/>
                <w:highlight w:val="none"/>
                <w:lang w:val="en-US" w:eastAsia="zh-CN"/>
              </w:rPr>
              <w:t>付款方式</w:t>
            </w:r>
          </w:p>
        </w:tc>
        <w:tc>
          <w:tcPr>
            <w:tcW w:w="3790" w:type="dxa"/>
          </w:tcPr>
          <w:p>
            <w:pPr>
              <w:ind w:firstLine="0" w:firstLineChars="0"/>
              <w:rPr>
                <w:rFonts w:hint="eastAsia" w:ascii="宋体" w:hAnsi="宋体" w:eastAsia="宋体" w:cs="宋体"/>
                <w:b w:val="0"/>
                <w:bCs w:val="0"/>
                <w:spacing w:val="0"/>
                <w:sz w:val="24"/>
                <w:szCs w:val="24"/>
                <w:highlight w:val="none"/>
                <w:vertAlign w:val="baseline"/>
                <w:lang w:val="en-US" w:eastAsia="zh-CN"/>
              </w:rPr>
            </w:pPr>
            <w:r>
              <w:rPr>
                <w:rFonts w:hint="eastAsia"/>
                <w:lang w:val="en-US"/>
              </w:rPr>
              <w:t>★</w:t>
            </w:r>
            <w:r>
              <w:rPr>
                <w:rFonts w:hint="eastAsia"/>
                <w:lang w:val="en-US" w:eastAsia="zh-CN"/>
              </w:rPr>
              <w:t>1系统上线试用后，30天内转账支付70%合同金额。剩余30%合同金额在系统完成调试正常使用后30天内转账支付。</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pStyle w:val="11"/>
              <w:numPr>
                <w:ilvl w:val="-1"/>
                <w:numId w:val="0"/>
              </w:numPr>
              <w:spacing w:before="0" w:after="0" w:line="240" w:lineRule="auto"/>
              <w:jc w:val="center"/>
              <w:outlineLvl w:val="1"/>
              <w:rPr>
                <w:rFonts w:hint="default" w:ascii="宋体" w:hAnsi="宋体" w:eastAsia="宋体" w:cs="宋体"/>
                <w:b/>
                <w:bCs/>
                <w:spacing w:val="0"/>
                <w:sz w:val="24"/>
                <w:szCs w:val="24"/>
                <w:highlight w:val="none"/>
                <w:vertAlign w:val="baseline"/>
                <w:lang w:val="en-US" w:eastAsia="zh-CN"/>
              </w:rPr>
            </w:pPr>
            <w:r>
              <w:rPr>
                <w:rFonts w:hint="eastAsia" w:ascii="宋体" w:hAnsi="宋体" w:eastAsia="宋体" w:cs="宋体"/>
                <w:b/>
                <w:bCs/>
                <w:spacing w:val="0"/>
                <w:sz w:val="24"/>
                <w:szCs w:val="24"/>
                <w:highlight w:val="none"/>
                <w:vertAlign w:val="baseline"/>
                <w:lang w:val="en-US" w:eastAsia="zh-CN"/>
              </w:rPr>
              <w:t>14</w:t>
            </w:r>
          </w:p>
        </w:tc>
        <w:tc>
          <w:tcPr>
            <w:tcW w:w="743" w:type="dxa"/>
            <w:vMerge w:val="continue"/>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3790" w:type="dxa"/>
          </w:tcPr>
          <w:p>
            <w:pPr>
              <w:pStyle w:val="11"/>
              <w:numPr>
                <w:ilvl w:val="-1"/>
                <w:numId w:val="0"/>
              </w:numPr>
              <w:spacing w:before="0" w:after="0" w:line="240" w:lineRule="auto"/>
              <w:jc w:val="both"/>
              <w:outlineLvl w:val="1"/>
              <w:rPr>
                <w:rFonts w:hint="eastAsia" w:ascii="宋体" w:hAnsi="宋体" w:eastAsia="宋体" w:cs="宋体"/>
                <w:b w:val="0"/>
                <w:bCs w:val="0"/>
                <w:spacing w:val="0"/>
                <w:sz w:val="24"/>
                <w:szCs w:val="24"/>
                <w:highlight w:val="none"/>
                <w:vertAlign w:val="baseline"/>
                <w:lang w:val="en-US" w:eastAsia="zh-CN"/>
              </w:rPr>
            </w:pPr>
            <w:r>
              <w:rPr>
                <w:rFonts w:hint="eastAsia"/>
                <w:lang w:val="en-US" w:eastAsia="zh-CN"/>
              </w:rPr>
              <w:t>2、每次款项支付前，中选人须向采购人提供相应款项的增值税专用发票。</w:t>
            </w:r>
          </w:p>
        </w:tc>
        <w:tc>
          <w:tcPr>
            <w:tcW w:w="1422"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c>
          <w:tcPr>
            <w:tcW w:w="1831" w:type="dxa"/>
          </w:tcPr>
          <w:p>
            <w:pPr>
              <w:pStyle w:val="11"/>
              <w:numPr>
                <w:ilvl w:val="-1"/>
                <w:numId w:val="0"/>
              </w:numPr>
              <w:spacing w:before="0" w:after="0" w:line="240" w:lineRule="auto"/>
              <w:jc w:val="both"/>
              <w:outlineLvl w:val="1"/>
              <w:rPr>
                <w:rFonts w:hint="eastAsia" w:ascii="宋体" w:hAnsi="宋体" w:eastAsia="宋体" w:cs="宋体"/>
                <w:b/>
                <w:bCs/>
                <w:spacing w:val="0"/>
                <w:sz w:val="24"/>
                <w:szCs w:val="24"/>
                <w:highlight w:val="none"/>
                <w:vertAlign w:val="baseline"/>
                <w:lang w:eastAsia="zh-CN"/>
              </w:rPr>
            </w:pPr>
          </w:p>
        </w:tc>
      </w:tr>
    </w:tbl>
    <w:p>
      <w:pPr>
        <w:pStyle w:val="11"/>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br w:type="page"/>
      </w:r>
    </w:p>
    <w:p>
      <w:pPr>
        <w:pStyle w:val="11"/>
        <w:numPr>
          <w:ilvl w:val="-1"/>
          <w:numId w:val="0"/>
        </w:numPr>
        <w:spacing w:before="0" w:after="0" w:line="360" w:lineRule="auto"/>
        <w:ind w:firstLine="0"/>
        <w:jc w:val="both"/>
        <w:outlineLvl w:val="1"/>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highlight w:val="none"/>
          <w:lang w:val="en-US" w:eastAsia="zh-CN"/>
        </w:rPr>
        <w:t xml:space="preserve">格式7 </w:t>
      </w:r>
      <w:r>
        <w:rPr>
          <w:rFonts w:hint="eastAsia" w:ascii="宋体" w:hAnsi="宋体" w:eastAsia="宋体" w:cs="宋体"/>
          <w:b/>
          <w:bCs/>
          <w:spacing w:val="0"/>
          <w:sz w:val="24"/>
          <w:szCs w:val="24"/>
          <w:highlight w:val="none"/>
          <w:lang w:eastAsia="zh-CN"/>
        </w:rPr>
        <w:t>参评人信息</w:t>
      </w:r>
    </w:p>
    <w:p>
      <w:pPr>
        <w:rPr>
          <w:rFonts w:hint="eastAsia"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t>法定代表人或委托代理人：</w:t>
      </w:r>
    </w:p>
    <w:p>
      <w:pPr>
        <w:rPr>
          <w:rFonts w:hint="eastAsia" w:ascii="宋体" w:hAnsi="宋体"/>
          <w:color w:val="auto"/>
          <w:szCs w:val="21"/>
          <w:highlight w:val="none"/>
        </w:rPr>
      </w:pPr>
      <w:r>
        <w:rPr>
          <w:rFonts w:hint="eastAsia" w:ascii="宋体" w:hAnsi="宋体"/>
          <w:color w:val="auto"/>
          <w:szCs w:val="21"/>
          <w:highlight w:val="none"/>
        </w:rPr>
        <w:t xml:space="preserve">电话：                                 </w:t>
      </w:r>
    </w:p>
    <w:p>
      <w:pPr>
        <w:rPr>
          <w:rFonts w:hint="eastAsia" w:ascii="宋体" w:hAnsi="宋体"/>
          <w:color w:val="auto"/>
          <w:szCs w:val="21"/>
          <w:highlight w:val="none"/>
        </w:rPr>
      </w:pPr>
      <w:r>
        <w:rPr>
          <w:rFonts w:hint="eastAsia" w:ascii="宋体" w:hAnsi="宋体"/>
          <w:color w:val="auto"/>
          <w:szCs w:val="21"/>
          <w:highlight w:val="none"/>
        </w:rPr>
        <w:t xml:space="preserve">地址：                                     </w:t>
      </w:r>
    </w:p>
    <w:p>
      <w:pPr>
        <w:rPr>
          <w:rFonts w:hint="eastAsia" w:ascii="宋体" w:hAnsi="宋体"/>
          <w:color w:val="auto"/>
          <w:szCs w:val="21"/>
          <w:highlight w:val="none"/>
        </w:rPr>
      </w:pPr>
      <w:r>
        <w:rPr>
          <w:rFonts w:hint="eastAsia" w:ascii="宋体" w:hAnsi="宋体"/>
          <w:color w:val="auto"/>
          <w:szCs w:val="21"/>
          <w:highlight w:val="none"/>
        </w:rPr>
        <w:t xml:space="preserve">邮政编码：                                 </w:t>
      </w:r>
    </w:p>
    <w:p>
      <w:pPr>
        <w:rPr>
          <w:rFonts w:hint="eastAsia" w:ascii="宋体" w:hAnsi="宋体"/>
          <w:color w:val="auto"/>
          <w:szCs w:val="21"/>
          <w:highlight w:val="none"/>
        </w:rPr>
      </w:pPr>
      <w:r>
        <w:rPr>
          <w:rFonts w:hint="eastAsia" w:ascii="宋体" w:hAnsi="宋体"/>
          <w:color w:val="auto"/>
          <w:szCs w:val="21"/>
          <w:highlight w:val="none"/>
        </w:rPr>
        <w:t xml:space="preserve">开户银行：                                 </w:t>
      </w:r>
    </w:p>
    <w:p>
      <w:pPr>
        <w:rPr>
          <w:rFonts w:hint="eastAsia" w:ascii="宋体" w:hAnsi="宋体"/>
          <w:color w:val="auto"/>
          <w:szCs w:val="21"/>
          <w:highlight w:val="none"/>
        </w:rPr>
      </w:pPr>
      <w:r>
        <w:rPr>
          <w:rFonts w:hint="eastAsia" w:ascii="宋体" w:hAnsi="宋体"/>
          <w:color w:val="auto"/>
          <w:szCs w:val="21"/>
          <w:highlight w:val="none"/>
        </w:rPr>
        <w:t>帐号：</w:t>
      </w:r>
    </w:p>
    <w:p>
      <w:pPr>
        <w:pStyle w:val="6"/>
        <w:rPr>
          <w:rFonts w:hint="eastAsia" w:ascii="宋体" w:hAnsi="宋体"/>
          <w:color w:val="auto"/>
          <w:szCs w:val="21"/>
          <w:highlight w:val="none"/>
        </w:rPr>
      </w:pPr>
    </w:p>
    <w:p>
      <w:pPr>
        <w:keepNext w:val="0"/>
        <w:keepLines w:val="0"/>
        <w:pageBreakBefore w:val="0"/>
        <w:kinsoku/>
        <w:wordWrap w:val="0"/>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盖</w:t>
      </w:r>
      <w:r>
        <w:rPr>
          <w:rFonts w:hint="eastAsia" w:ascii="宋体" w:hAnsi="宋体" w:eastAsia="宋体" w:cs="宋体"/>
          <w:b/>
          <w:bCs w:val="0"/>
          <w:sz w:val="24"/>
          <w:szCs w:val="24"/>
          <w:highlight w:val="none"/>
        </w:rPr>
        <w:t>章）</w:t>
      </w:r>
      <w:r>
        <w:rPr>
          <w:rFonts w:hint="eastAsia" w:ascii="宋体" w:hAnsi="宋体" w:eastAsia="宋体" w:cs="宋体"/>
          <w:bCs/>
          <w:sz w:val="24"/>
          <w:szCs w:val="24"/>
          <w:highlight w:val="none"/>
        </w:rPr>
        <w:t>：</w:t>
      </w:r>
    </w:p>
    <w:p>
      <w:pPr>
        <w:wordWrap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（签字）</w:t>
      </w:r>
      <w:r>
        <w:rPr>
          <w:rFonts w:hint="eastAsia" w:ascii="宋体" w:hAnsi="宋体" w:eastAsia="宋体" w:cs="宋体"/>
          <w:bCs/>
          <w:sz w:val="24"/>
          <w:szCs w:val="24"/>
          <w:highlight w:val="none"/>
        </w:rPr>
        <w:t>：</w:t>
      </w:r>
    </w:p>
    <w:p>
      <w:pPr>
        <w:spacing w:line="560" w:lineRule="exact"/>
        <w:ind w:firstLine="4800" w:firstLineChars="2000"/>
        <w:rPr>
          <w:rFonts w:hint="default"/>
          <w:highlight w:val="none"/>
          <w:lang w:val="en-US" w:eastAsia="zh-CN"/>
        </w:rPr>
      </w:pPr>
      <w:r>
        <w:rPr>
          <w:rFonts w:hint="eastAsia" w:ascii="宋体" w:hAnsi="宋体" w:eastAsia="宋体" w:cs="宋体"/>
          <w:bCs/>
          <w:sz w:val="24"/>
          <w:szCs w:val="24"/>
          <w:highlight w:val="none"/>
        </w:rPr>
        <w:t>日期：</w:t>
      </w:r>
    </w:p>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870B9"/>
    <w:multiLevelType w:val="singleLevel"/>
    <w:tmpl w:val="BAD870B9"/>
    <w:lvl w:ilvl="0" w:tentative="0">
      <w:start w:val="1"/>
      <w:numFmt w:val="decimal"/>
      <w:lvlText w:val="%1."/>
      <w:lvlJc w:val="left"/>
      <w:pPr>
        <w:ind w:left="425" w:hanging="425"/>
      </w:pPr>
      <w:rPr>
        <w:rFonts w:hint="default"/>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79405FC3"/>
    <w:rsid w:val="79405FC3"/>
    <w:rsid w:val="7D6C7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ind w:firstLine="643" w:firstLineChars="200"/>
      <w:jc w:val="both"/>
    </w:pPr>
    <w:rPr>
      <w:rFonts w:asciiTheme="minorAscii" w:hAnsiTheme="minorAscii" w:eastAsiaTheme="minorEastAsia" w:cstheme="minorBidi"/>
      <w:kern w:val="2"/>
      <w:sz w:val="24"/>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pPr>
      <w:spacing w:line="360" w:lineRule="auto"/>
    </w:pPr>
    <w:rPr>
      <w:szCs w:val="20"/>
    </w:rPr>
  </w:style>
  <w:style w:type="paragraph" w:styleId="4">
    <w:name w:val="Plain Text"/>
    <w:basedOn w:val="1"/>
    <w:next w:val="1"/>
    <w:autoRedefine/>
    <w:qFormat/>
    <w:uiPriority w:val="0"/>
    <w:rPr>
      <w:rFonts w:ascii="宋体" w:hAnsi="Courier New" w:cs="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Body Text First Indent"/>
    <w:basedOn w:val="3"/>
    <w:next w:val="1"/>
    <w:autoRedefine/>
    <w:qFormat/>
    <w:uiPriority w:val="0"/>
    <w:pPr>
      <w:spacing w:after="120"/>
      <w:ind w:firstLine="420" w:firstLineChars="1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11">
    <w:name w:val="表格文字"/>
    <w:basedOn w:val="1"/>
    <w:autoRedefine/>
    <w:qFormat/>
    <w:uiPriority w:val="0"/>
    <w:pPr>
      <w:spacing w:before="25" w:after="25" w:line="300" w:lineRule="auto"/>
    </w:pPr>
    <w:rPr>
      <w:rFonts w:ascii="Times" w:hAnsi="Time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2024-02-20T07:58:00Z</dcterms:created>
  <dc:creator>1128admin</dc:creator>
  <cp:lastModifiedBy>Gordon工作号</cp:lastModifiedBy>
  <dcterms:modified xsi:type="dcterms:W3CDTF">2024-02-20T08:56:45Z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99E724D972024C2F90F273C2F40F6FAB_11</vt:lpwstr>
  </property>
</Properties>
</file>