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p>
    <w:p>
      <w:pPr>
        <w:pStyle w:val="17"/>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hAnsi="宋体" w:cs="宋体"/>
          <w:b/>
          <w:kern w:val="0"/>
          <w:sz w:val="44"/>
          <w:szCs w:val="44"/>
          <w:highlight w:val="none"/>
          <w:lang w:val="en-US" w:eastAsia="zh-CN"/>
        </w:rPr>
        <w:t>安全管理评估及构建安全生产管理体系</w:t>
      </w:r>
      <w:r>
        <w:rPr>
          <w:rFonts w:hint="eastAsia" w:hAnsi="宋体" w:cs="宋体"/>
          <w:b/>
          <w:kern w:val="0"/>
          <w:sz w:val="44"/>
          <w:szCs w:val="44"/>
          <w:highlight w:val="none"/>
        </w:rPr>
        <w:t>项目</w:t>
      </w:r>
      <w:bookmarkStart w:id="1" w:name="_Toc13975"/>
      <w:bookmarkStart w:id="2" w:name="_Toc29636"/>
      <w:r>
        <w:rPr>
          <w:rFonts w:hint="eastAsia" w:ascii="宋体" w:hAnsi="宋体" w:cs="宋体"/>
          <w:b/>
          <w:sz w:val="44"/>
          <w:szCs w:val="44"/>
          <w:highlight w:val="none"/>
        </w:rPr>
        <w:t xml:space="preserve"> </w:t>
      </w: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pPr>
        <w:pStyle w:val="17"/>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pPr>
        <w:pStyle w:val="31"/>
        <w:keepNext w:val="0"/>
        <w:keepLines w:val="0"/>
        <w:pageBreakBefore w:val="0"/>
        <w:kinsoku/>
        <w:wordWrap/>
        <w:overflowPunct/>
        <w:topLinePunct w:val="0"/>
        <w:bidi w:val="0"/>
        <w:spacing w:after="0" w:line="360" w:lineRule="auto"/>
        <w:ind w:firstLine="320"/>
        <w:jc w:val="center"/>
        <w:outlineLvl w:val="9"/>
        <w:rPr>
          <w:rFonts w:ascii="宋体" w:hAnsi="宋体" w:cs="宋体"/>
          <w:b/>
          <w:sz w:val="44"/>
          <w:szCs w:val="44"/>
          <w:highlight w:val="none"/>
          <w:lang w:val="zh-CN"/>
        </w:rPr>
      </w:pPr>
      <w:r>
        <w:rPr>
          <w:rFonts w:hint="eastAsia" w:ascii="宋体" w:hAnsi="宋体" w:cs="宋体"/>
          <w:sz w:val="32"/>
          <w:szCs w:val="32"/>
          <w:highlight w:val="none"/>
        </w:rPr>
        <w:t>202</w:t>
      </w:r>
      <w:r>
        <w:rPr>
          <w:rFonts w:hint="eastAsia" w:ascii="宋体" w:hAnsi="宋体" w:cs="宋体"/>
          <w:sz w:val="32"/>
          <w:szCs w:val="32"/>
          <w:highlight w:val="none"/>
          <w:lang w:val="en-US" w:eastAsia="zh-CN"/>
        </w:rPr>
        <w:t>4</w:t>
      </w:r>
      <w:r>
        <w:rPr>
          <w:rFonts w:hint="eastAsia" w:ascii="宋体" w:hAnsi="宋体" w:cs="宋体"/>
          <w:sz w:val="32"/>
          <w:szCs w:val="32"/>
          <w:highlight w:val="none"/>
        </w:rPr>
        <w:t>年</w:t>
      </w:r>
      <w:r>
        <w:rPr>
          <w:rFonts w:hint="eastAsia" w:ascii="宋体" w:hAnsi="宋体" w:cs="宋体"/>
          <w:sz w:val="32"/>
          <w:szCs w:val="32"/>
          <w:highlight w:val="none"/>
          <w:lang w:val="en-US" w:eastAsia="zh-CN"/>
        </w:rPr>
        <w:t>1</w:t>
      </w:r>
      <w:r>
        <w:rPr>
          <w:rFonts w:hint="eastAsia" w:ascii="宋体" w:hAnsi="宋体" w:cs="宋体"/>
          <w:sz w:val="32"/>
          <w:szCs w:val="32"/>
          <w:highlight w:val="none"/>
        </w:rPr>
        <w:t>月</w:t>
      </w: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br w:type="page"/>
      </w:r>
      <w:r>
        <w:rPr>
          <w:rFonts w:hint="eastAsia" w:ascii="宋体" w:hAnsi="宋体" w:cs="宋体"/>
          <w:b/>
          <w:sz w:val="44"/>
          <w:szCs w:val="28"/>
          <w:highlight w:val="none"/>
        </w:rPr>
        <w:t>目  录</w:t>
      </w:r>
    </w:p>
    <w:p>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第二部分  用户需求书</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合同格式</w:t>
      </w:r>
    </w:p>
    <w:p>
      <w:pPr>
        <w:pStyle w:val="17"/>
        <w:keepNext w:val="0"/>
        <w:keepLines w:val="0"/>
        <w:pageBreakBefore w:val="0"/>
        <w:kinsoku/>
        <w:overflowPunct/>
        <w:topLinePunct w:val="0"/>
        <w:bidi w:val="0"/>
        <w:adjustRightInd w:val="0"/>
        <w:snapToGrid w:val="0"/>
        <w:spacing w:line="440" w:lineRule="exact"/>
        <w:jc w:val="center"/>
        <w:outlineLvl w:val="9"/>
        <w:rPr>
          <w:rFonts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highlight w:val="none"/>
        </w:rPr>
      </w:pPr>
    </w:p>
    <w:p>
      <w:pPr>
        <w:pStyle w:val="17"/>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）安全管理评估及构建安全生产管理体系项目</w:t>
      </w:r>
      <w:r>
        <w:rPr>
          <w:rFonts w:hint="eastAsia" w:ascii="宋体" w:hAnsi="宋体" w:cs="宋体"/>
          <w:spacing w:val="20"/>
          <w:sz w:val="24"/>
          <w:highlight w:val="none"/>
        </w:rPr>
        <w:t>进行公开采购，欢迎符合资格条件的供应商参与评选，有关事项如下：</w:t>
      </w:r>
    </w:p>
    <w:p>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eastAsia="zh-CN"/>
        </w:rPr>
        <w:t>安全管理评估及构建安全生产管理体系项目</w:t>
      </w:r>
    </w:p>
    <w:p>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rPr>
        <w:t>不高于¥</w:t>
      </w:r>
      <w:r>
        <w:rPr>
          <w:rFonts w:hint="eastAsia" w:ascii="宋体" w:hAnsi="宋体" w:cs="宋体"/>
          <w:sz w:val="24"/>
          <w:highlight w:val="none"/>
          <w:lang w:val="en-US" w:eastAsia="zh-CN"/>
        </w:rPr>
        <w:t>99000</w:t>
      </w:r>
      <w:r>
        <w:rPr>
          <w:rFonts w:hint="eastAsia" w:ascii="宋体" w:hAnsi="宋体" w:cs="宋体"/>
          <w:sz w:val="24"/>
          <w:highlight w:val="none"/>
        </w:rPr>
        <w:t>.00元</w:t>
      </w:r>
    </w:p>
    <w:p>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pPr>
        <w:pStyle w:val="2"/>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为采购人进行安全管理评估及构建安全生产管理体系，包括但不限于以下方面的内容：</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对</w:t>
      </w:r>
      <w:r>
        <w:rPr>
          <w:rFonts w:hint="eastAsia" w:ascii="宋体" w:hAnsi="宋体" w:cs="宋体"/>
          <w:spacing w:val="20"/>
          <w:sz w:val="24"/>
          <w:highlight w:val="none"/>
          <w:lang w:val="en-US" w:eastAsia="zh-CN"/>
        </w:rPr>
        <w:t>采购人</w:t>
      </w:r>
      <w:r>
        <w:rPr>
          <w:rFonts w:hint="eastAsia" w:ascii="宋体" w:hAnsi="宋体" w:cs="宋体"/>
          <w:sz w:val="24"/>
          <w:highlight w:val="none"/>
        </w:rPr>
        <w:t>涉及多个行业领域的安全巡查，多形式对内部管理进行评审，结合</w:t>
      </w:r>
      <w:r>
        <w:rPr>
          <w:rFonts w:hint="eastAsia" w:ascii="宋体" w:hAnsi="宋体" w:cs="宋体"/>
          <w:spacing w:val="20"/>
          <w:sz w:val="24"/>
          <w:highlight w:val="none"/>
          <w:lang w:val="en-US" w:eastAsia="zh-CN"/>
        </w:rPr>
        <w:t>采购人</w:t>
      </w:r>
      <w:r>
        <w:rPr>
          <w:rFonts w:hint="eastAsia" w:ascii="宋体" w:hAnsi="宋体" w:cs="宋体"/>
          <w:sz w:val="24"/>
          <w:highlight w:val="none"/>
        </w:rPr>
        <w:t>所涉及的行业特点，针对存在的安全风险、事故隐患和安全生产的薄弱环节进行调查研究，摸清存在的问题，结合各评审人员建议和同类企业的管理经验，编制《中山市公共交通运输集团有限公司安全管理评审报告》。</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协助</w:t>
      </w:r>
      <w:r>
        <w:rPr>
          <w:rFonts w:hint="eastAsia" w:ascii="宋体" w:hAnsi="宋体" w:cs="宋体"/>
          <w:spacing w:val="20"/>
          <w:sz w:val="24"/>
          <w:highlight w:val="none"/>
          <w:lang w:val="en-US" w:eastAsia="zh-CN"/>
        </w:rPr>
        <w:t>采购人</w:t>
      </w:r>
      <w:r>
        <w:rPr>
          <w:rFonts w:hint="eastAsia" w:ascii="宋体" w:hAnsi="宋体" w:cs="宋体"/>
          <w:sz w:val="24"/>
          <w:highlight w:val="none"/>
        </w:rPr>
        <w:t>健全《中山市公共交通运输集团有限公司安全生产责任制度》。</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协助</w:t>
      </w:r>
      <w:r>
        <w:rPr>
          <w:rFonts w:hint="eastAsia" w:ascii="宋体" w:hAnsi="宋体" w:cs="宋体"/>
          <w:spacing w:val="20"/>
          <w:sz w:val="24"/>
          <w:highlight w:val="none"/>
          <w:lang w:val="en-US" w:eastAsia="zh-CN"/>
        </w:rPr>
        <w:t>采购人</w:t>
      </w:r>
      <w:r>
        <w:rPr>
          <w:rFonts w:hint="eastAsia" w:ascii="宋体" w:hAnsi="宋体" w:cs="宋体"/>
          <w:sz w:val="24"/>
          <w:highlight w:val="none"/>
        </w:rPr>
        <w:t>完成《中山市公共交通运输集团有限公司安全风险分级管控及隐患排查治理双重预防体系建设手册》。</w:t>
      </w:r>
    </w:p>
    <w:p>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完成《中山市公共交通运输集团有限公司应急预案评审修改意见》</w:t>
      </w:r>
      <w:r>
        <w:rPr>
          <w:rFonts w:hint="eastAsia" w:ascii="宋体" w:hAnsi="宋体" w:cs="宋体"/>
          <w:sz w:val="24"/>
          <w:highlight w:val="none"/>
          <w:lang w:eastAsia="zh-CN"/>
        </w:rPr>
        <w:t>。</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（一）具有独立承担民事责任能力的在中华人民共和国境内注册的企业法人或其他社会组织，提供营业执照等。</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（二）供应商具有从事企业管理咨询服务、安全生产技术服务或安全咨询服务等相关资质（提供营业执照等）。</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（三）供应商承诺不得以任何方式转包或分包本项目。</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（四）参评供应商满足本项目的主要需求，填写《需求响应表》并全部完全响应，无负偏离。</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（五）非联合体潜在供应商参评报价。</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（六）报价为唯一固定价且未超过报价限价。</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（一）本项目的采购公告信息在中山市公共交通运输集团有限公司官方网站（https://www.zsbus.cn/infolist.aspx?cid=35）及中山产权服务网（http://zscq.zsnews.cn/）上公布，并视为有效送达，不再另行通知。</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w:t>
      </w:r>
      <w:r>
        <w:rPr>
          <w:rFonts w:ascii="宋体" w:hAnsi="宋体" w:cs="宋体"/>
          <w:sz w:val="24"/>
          <w:highlight w:val="none"/>
        </w:rPr>
        <w:t>1</w:t>
      </w:r>
      <w:r>
        <w:rPr>
          <w:rFonts w:hint="eastAsia" w:ascii="宋体" w:hAnsi="宋体" w:cs="宋体"/>
          <w:sz w:val="24"/>
          <w:highlight w:val="none"/>
          <w:lang w:val="en-US" w:eastAsia="zh-CN"/>
        </w:rPr>
        <w:t>7</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，参评文件格式要求详见第四部分《参评响应文件格式》；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日1</w:t>
      </w:r>
      <w:r>
        <w:rPr>
          <w:rFonts w:hint="eastAsia" w:ascii="宋体" w:hAnsi="宋体" w:cs="宋体"/>
          <w:sz w:val="24"/>
          <w:highlight w:val="none"/>
          <w:lang w:val="en-US" w:eastAsia="zh-CN"/>
        </w:rPr>
        <w:t>7</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0，超时不接受任何供应商报名。</w:t>
      </w:r>
    </w:p>
    <w:p>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2</w:t>
      </w:r>
      <w:r>
        <w:rPr>
          <w:rFonts w:hint="eastAsia" w:ascii="宋体" w:hAnsi="宋体" w:cs="宋体"/>
          <w:sz w:val="24"/>
          <w:highlight w:val="none"/>
        </w:rPr>
        <w:t>月</w:t>
      </w:r>
      <w:r>
        <w:rPr>
          <w:rFonts w:hint="eastAsia" w:ascii="宋体" w:hAnsi="宋体" w:cs="宋体"/>
          <w:sz w:val="24"/>
          <w:highlight w:val="none"/>
          <w:lang w:val="en-US" w:eastAsia="zh-CN"/>
        </w:rPr>
        <w:t>2</w:t>
      </w:r>
      <w:r>
        <w:rPr>
          <w:rFonts w:hint="eastAsia" w:ascii="宋体" w:hAnsi="宋体" w:cs="宋体"/>
          <w:sz w:val="24"/>
          <w:highlight w:val="none"/>
        </w:rPr>
        <w:t>日</w:t>
      </w:r>
      <w:r>
        <w:rPr>
          <w:rFonts w:hint="eastAsia" w:ascii="宋体" w:hAnsi="宋体" w:cs="宋体"/>
          <w:sz w:val="24"/>
          <w:highlight w:val="none"/>
          <w:lang w:val="en-US" w:eastAsia="zh-CN"/>
        </w:rPr>
        <w:t>上</w:t>
      </w:r>
      <w:r>
        <w:rPr>
          <w:rFonts w:hint="eastAsia" w:ascii="宋体" w:hAnsi="宋体" w:cs="宋体"/>
          <w:sz w:val="24"/>
          <w:highlight w:val="none"/>
        </w:rPr>
        <w:t>午。</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李先生18219114469</w:t>
      </w:r>
    </w:p>
    <w:p>
      <w:pPr>
        <w:keepNext w:val="0"/>
        <w:keepLines w:val="0"/>
        <w:pageBreakBefore w:val="0"/>
        <w:kinsoku/>
        <w:overflowPunct/>
        <w:topLinePunct w:val="0"/>
        <w:bidi w:val="0"/>
        <w:spacing w:line="440" w:lineRule="exact"/>
        <w:ind w:firstLine="480" w:firstLineChars="200"/>
        <w:jc w:val="left"/>
        <w:outlineLvl w:val="9"/>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6" w:h="16838"/>
          <w:pgMar w:top="1134" w:right="991" w:bottom="1134" w:left="1418" w:header="851" w:footer="152" w:gutter="0"/>
          <w:paperSrc w:first="7"/>
          <w:cols w:space="720" w:num="1"/>
          <w:docGrid w:linePitch="312" w:charSpace="0"/>
        </w:sectPr>
      </w:pP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年1月</w:t>
      </w:r>
      <w:r>
        <w:rPr>
          <w:rFonts w:hint="eastAsia" w:ascii="宋体" w:hAnsi="宋体"/>
          <w:sz w:val="24"/>
          <w:highlight w:val="none"/>
          <w:lang w:val="en-US" w:eastAsia="zh-CN"/>
        </w:rPr>
        <w:t>25</w:t>
      </w:r>
      <w:r>
        <w:rPr>
          <w:rFonts w:hint="eastAsia" w:ascii="宋体" w:hAnsi="宋体"/>
          <w:sz w:val="24"/>
          <w:highlight w:val="none"/>
        </w:rPr>
        <w:t>日</w:t>
      </w:r>
    </w:p>
    <w:p>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pPr>
        <w:pStyle w:val="31"/>
        <w:keepNext w:val="0"/>
        <w:keepLines w:val="0"/>
        <w:pageBreakBefore w:val="0"/>
        <w:kinsoku/>
        <w:overflowPunct/>
        <w:topLinePunct w:val="0"/>
        <w:bidi w:val="0"/>
        <w:spacing w:after="0" w:line="440" w:lineRule="exact"/>
        <w:ind w:firstLine="513" w:firstLineChars="214"/>
        <w:outlineLvl w:val="9"/>
        <w:rPr>
          <w:rFonts w:ascii="宋体" w:hAnsi="宋体" w:cs="宋体"/>
          <w:bCs/>
          <w:sz w:val="24"/>
          <w:highlight w:val="none"/>
        </w:rPr>
      </w:pPr>
      <w:r>
        <w:rPr>
          <w:rFonts w:hint="eastAsia" w:ascii="宋体" w:hAnsi="宋体" w:cs="宋体"/>
          <w:sz w:val="24"/>
          <w:highlight w:val="none"/>
        </w:rPr>
        <w:t>采购人</w:t>
      </w:r>
      <w:r>
        <w:rPr>
          <w:rFonts w:hint="eastAsia" w:ascii="宋体" w:hAnsi="宋体" w:eastAsia="宋体" w:cs="宋体"/>
          <w:bCs/>
          <w:sz w:val="24"/>
          <w:szCs w:val="24"/>
          <w:highlight w:val="none"/>
        </w:rPr>
        <w:t>为更好掌握</w:t>
      </w:r>
      <w:r>
        <w:rPr>
          <w:rFonts w:hint="eastAsia" w:ascii="宋体" w:hAnsi="宋体" w:cs="宋体"/>
          <w:bCs/>
          <w:sz w:val="24"/>
          <w:szCs w:val="24"/>
          <w:highlight w:val="none"/>
          <w:lang w:val="en-US" w:eastAsia="zh-CN"/>
        </w:rPr>
        <w:t>其</w:t>
      </w:r>
      <w:r>
        <w:rPr>
          <w:rFonts w:hint="eastAsia" w:ascii="宋体" w:hAnsi="宋体" w:eastAsia="宋体" w:cs="宋体"/>
          <w:bCs/>
          <w:sz w:val="24"/>
          <w:szCs w:val="24"/>
          <w:highlight w:val="none"/>
        </w:rPr>
        <w:t>各领域安全风险现状，</w:t>
      </w:r>
      <w:r>
        <w:rPr>
          <w:rFonts w:hint="eastAsia" w:ascii="宋体" w:hAnsi="宋体" w:cs="宋体"/>
          <w:bCs/>
          <w:sz w:val="24"/>
          <w:szCs w:val="24"/>
          <w:highlight w:val="none"/>
          <w:lang w:val="en-US" w:eastAsia="zh-CN"/>
        </w:rPr>
        <w:t>需</w:t>
      </w:r>
      <w:r>
        <w:rPr>
          <w:rFonts w:hint="eastAsia" w:ascii="宋体" w:hAnsi="宋体" w:eastAsia="宋体" w:cs="宋体"/>
          <w:bCs/>
          <w:sz w:val="24"/>
          <w:szCs w:val="24"/>
          <w:highlight w:val="none"/>
        </w:rPr>
        <w:t>委托第三方安全服务机构对</w:t>
      </w:r>
      <w:r>
        <w:rPr>
          <w:rFonts w:hint="eastAsia" w:ascii="宋体" w:hAnsi="宋体" w:cs="宋体"/>
          <w:sz w:val="24"/>
          <w:highlight w:val="none"/>
        </w:rPr>
        <w:t>采购人</w:t>
      </w:r>
      <w:r>
        <w:rPr>
          <w:rFonts w:hint="eastAsia" w:ascii="宋体" w:hAnsi="宋体" w:eastAsia="宋体" w:cs="宋体"/>
          <w:bCs/>
          <w:sz w:val="24"/>
          <w:szCs w:val="24"/>
          <w:highlight w:val="none"/>
        </w:rPr>
        <w:t>内部摸底排查并深入评估、研究和分析</w:t>
      </w:r>
      <w:r>
        <w:rPr>
          <w:rFonts w:hint="eastAsia" w:ascii="宋体" w:hAnsi="宋体" w:cs="宋体"/>
          <w:sz w:val="24"/>
          <w:highlight w:val="none"/>
        </w:rPr>
        <w:t>采购人</w:t>
      </w:r>
      <w:r>
        <w:rPr>
          <w:rFonts w:hint="eastAsia" w:ascii="宋体" w:hAnsi="宋体" w:eastAsia="宋体" w:cs="宋体"/>
          <w:bCs/>
          <w:sz w:val="24"/>
          <w:szCs w:val="24"/>
          <w:highlight w:val="none"/>
        </w:rPr>
        <w:t>当前安全现状，提供技术支持和决策参考。</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对采购人内涉及多个行业领域的安全巡查，多形式对内部管理进行评审，结合采购人所涉及的行业特点，针对存在的安全风险、事故隐患和安全生产的薄弱环节进行调查研究，摸清存在的问题，结合各评审人员建议和同类企业的管理经验，编制《中山市公共交通运输集团有限公司安全管理评审报告》。</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协助采购人健全《中山市公共交通运输集团有限公司安全生产责任制度》。</w:t>
      </w:r>
    </w:p>
    <w:p>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协助采购人完成《中山市公共交通运输集团有限公司安全风险分级管控及隐患排查治理双重预防体系建设手册》。</w:t>
      </w:r>
    </w:p>
    <w:p>
      <w:pPr>
        <w:keepNext w:val="0"/>
        <w:keepLines w:val="0"/>
        <w:pageBreakBefore w:val="0"/>
        <w:kinsoku/>
        <w:overflowPunct/>
        <w:topLinePunct w:val="0"/>
        <w:bidi w:val="0"/>
        <w:spacing w:line="440" w:lineRule="exact"/>
        <w:ind w:firstLine="480" w:firstLineChars="200"/>
        <w:outlineLvl w:val="9"/>
        <w:rPr>
          <w:rFonts w:hint="eastAsia" w:ascii="宋体" w:hAnsi="宋体" w:eastAsia="宋体" w:cs="宋体"/>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完成《中山市公共交通运输集团有限公司应急预案评审修改意见》</w:t>
      </w:r>
      <w:r>
        <w:rPr>
          <w:rFonts w:hint="eastAsia" w:ascii="宋体" w:hAnsi="宋体" w:cs="宋体"/>
          <w:sz w:val="24"/>
          <w:highlight w:val="none"/>
          <w:lang w:eastAsia="zh-CN"/>
        </w:rPr>
        <w:t>。</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三、付款方式</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本项目不设预付款，自本项目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之日起且采购人收到中选人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提供发票后15个工作日内，采购人以银行转账方式向中选人一次性支付该项目采购金额。</w:t>
      </w:r>
    </w:p>
    <w:p>
      <w:pPr>
        <w:pStyle w:val="31"/>
        <w:keepNext w:val="0"/>
        <w:keepLines w:val="0"/>
        <w:pageBreakBefore w:val="0"/>
        <w:widowControl w:val="0"/>
        <w:kinsoku/>
        <w:wordWrap/>
        <w:overflowPunct/>
        <w:topLinePunct w:val="0"/>
        <w:autoSpaceDE/>
        <w:autoSpaceDN/>
        <w:bidi w:val="0"/>
        <w:adjustRightInd/>
        <w:snapToGrid/>
        <w:spacing w:after="0" w:line="240" w:lineRule="auto"/>
        <w:ind w:firstLine="513" w:firstLineChars="214"/>
        <w:textAlignment w:val="auto"/>
        <w:outlineLvl w:val="9"/>
        <w:rPr>
          <w:rFonts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二、评审标准为：资格评审+综合评审，共2个环节，评标委员会先进行资格评审，再进行综合评审。只有评审结论为“通过”的参评供应商才能进入综合评审。</w:t>
      </w: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三、资格评审环节由评标委员会全体成员对照《资格评审表》和供应商提交的参评文件共同评定，采取“一票否决”</w:t>
      </w:r>
      <w:r>
        <w:rPr>
          <w:rFonts w:hint="eastAsia" w:ascii="宋体" w:hAnsi="宋体" w:cs="宋体"/>
          <w:sz w:val="24"/>
          <w:highlight w:val="none"/>
          <w:lang w:val="en-US" w:eastAsia="zh-CN"/>
        </w:rPr>
        <w:t>方式</w:t>
      </w:r>
      <w:r>
        <w:rPr>
          <w:rFonts w:hint="eastAsia" w:ascii="宋体" w:hAnsi="宋体" w:cs="宋体"/>
          <w:sz w:val="24"/>
          <w:highlight w:val="none"/>
        </w:rPr>
        <w:t>。</w:t>
      </w:r>
    </w:p>
    <w:p>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rPr>
        <w:t>四、综合评审：</w:t>
      </w:r>
      <w:r>
        <w:rPr>
          <w:rFonts w:hint="eastAsia" w:ascii="宋体" w:hAnsi="宋体" w:cs="宋体"/>
          <w:sz w:val="24"/>
          <w:szCs w:val="24"/>
          <w:highlight w:val="none"/>
        </w:rPr>
        <w:t>技术商务评审</w:t>
      </w:r>
      <w:r>
        <w:rPr>
          <w:rFonts w:ascii="宋体" w:hAnsi="宋体" w:cs="宋体"/>
          <w:sz w:val="24"/>
          <w:szCs w:val="24"/>
          <w:highlight w:val="none"/>
        </w:rPr>
        <w:t>+价格评审，评分满分为100分，评分分配如下</w:t>
      </w:r>
      <w:r>
        <w:rPr>
          <w:rFonts w:hint="eastAsia" w:ascii="宋体" w:hAnsi="宋体" w:cs="宋体"/>
          <w:sz w:val="24"/>
          <w:szCs w:val="24"/>
          <w:highlight w:val="none"/>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7</w:t>
            </w:r>
            <w:r>
              <w:rPr>
                <w:rFonts w:hint="eastAsia" w:ascii="宋体" w:hAnsi="宋体" w:cs="宋体"/>
                <w:b/>
                <w:bCs/>
                <w:szCs w:val="21"/>
                <w:highlight w:val="none"/>
              </w:rPr>
              <w:t>0分</w:t>
            </w:r>
          </w:p>
        </w:tc>
        <w:tc>
          <w:tcPr>
            <w:tcW w:w="2536"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tc>
      </w:tr>
    </w:tbl>
    <w:p>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rPr>
        <w:t>五、综合评审方法</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审委员会校核后的各个标的价格定义为评标价格。取各评标价格的算术平均值为基准价格。当参评单位的评标价格等于基准价格时为满分</w:t>
      </w:r>
      <w:r>
        <w:rPr>
          <w:rFonts w:hint="eastAsia" w:ascii="宋体" w:hAnsi="宋体" w:cs="宋体"/>
          <w:sz w:val="24"/>
          <w:highlight w:val="none"/>
          <w:lang w:val="en-US" w:eastAsia="zh-CN"/>
        </w:rPr>
        <w:t>3</w:t>
      </w:r>
      <w:r>
        <w:rPr>
          <w:rFonts w:hint="eastAsia" w:ascii="宋体" w:hAnsi="宋体" w:cs="宋体"/>
          <w:sz w:val="24"/>
          <w:highlight w:val="none"/>
        </w:rPr>
        <w:t>0分，高于基准价格的评标价格则按其比例，每高于基准价格的1％减0.2分，低于基准价格的评标价格也按其比例，每低于基准价格的1％减0.1分，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，扣至0分止。算出所有参评单位的价格评分。分数精确到小数点后2位。</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pPr>
        <w:pStyle w:val="31"/>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六、评审结果</w:t>
      </w: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根据综合评审得分，得分最高的参评供应商为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七、资格评审表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具有独立承担民事责任能力的在中华人民共和国境内注册的企业法人或其他社会组织，提供营业执照等。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pPr>
              <w:keepNext w:val="0"/>
              <w:keepLines w:val="0"/>
              <w:pageBreakBefore w:val="0"/>
              <w:kinsoku/>
              <w:overflowPunct/>
              <w:topLinePunct w:val="0"/>
              <w:bidi w:val="0"/>
              <w:spacing w:line="440" w:lineRule="exact"/>
              <w:outlineLvl w:val="9"/>
              <w:rPr>
                <w:rFonts w:hint="eastAsia" w:eastAsia="宋体"/>
                <w:highlight w:val="none"/>
                <w:lang w:eastAsia="zh-CN"/>
              </w:rPr>
            </w:pPr>
            <w:r>
              <w:rPr>
                <w:rFonts w:hint="eastAsia"/>
                <w:highlight w:val="none"/>
              </w:rPr>
              <w:t>供应商具有</w:t>
            </w:r>
            <w:r>
              <w:rPr>
                <w:rFonts w:hint="eastAsia"/>
                <w:highlight w:val="none"/>
                <w:lang w:val="en-US" w:eastAsia="zh-CN"/>
              </w:rPr>
              <w:t>从事</w:t>
            </w:r>
            <w:r>
              <w:rPr>
                <w:rFonts w:hint="eastAsia" w:cs="Times New Roman"/>
                <w:sz w:val="21"/>
                <w:highlight w:val="none"/>
                <w:lang w:val="en-US" w:eastAsia="zh-CN"/>
              </w:rPr>
              <w:t>企业管理咨询服务、安全生产技术服务或安全咨询服务</w:t>
            </w:r>
            <w:r>
              <w:rPr>
                <w:rFonts w:hint="eastAsia"/>
                <w:highlight w:val="none"/>
              </w:rPr>
              <w:t>等相关资质，提供营业执照等。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7</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w:t>
            </w:r>
            <w:r>
              <w:rPr>
                <w:rFonts w:hint="eastAsia"/>
                <w:highlight w:val="none"/>
                <w:lang w:val="en-US" w:eastAsia="zh-CN"/>
              </w:rPr>
              <w:t>装订要求、</w:t>
            </w:r>
            <w:r>
              <w:rPr>
                <w:rFonts w:hint="eastAsia"/>
                <w:highlight w:val="none"/>
              </w:rPr>
              <w:t>盖章签署</w:t>
            </w:r>
            <w:r>
              <w:rPr>
                <w:rFonts w:hint="eastAsia"/>
                <w:highlight w:val="none"/>
                <w:lang w:val="en-US" w:eastAsia="zh-CN"/>
              </w:rPr>
              <w:t>要求</w:t>
            </w:r>
            <w:r>
              <w:rPr>
                <w:rFonts w:hint="eastAsia"/>
                <w:highlight w:val="none"/>
              </w:rPr>
              <w:t>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全体成员签名：                         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7" w:h="16840"/>
          <w:pgMar w:top="1134" w:right="1417" w:bottom="1134" w:left="1417" w:header="624" w:footer="992" w:gutter="0"/>
          <w:cols w:space="720" w:num="1"/>
          <w:docGrid w:linePitch="312" w:charSpace="0"/>
        </w:sectPr>
      </w:pPr>
    </w:p>
    <w:p>
      <w:pPr>
        <w:keepNext w:val="0"/>
        <w:keepLines w:val="0"/>
        <w:pageBreakBefore w:val="0"/>
        <w:kinsoku/>
        <w:overflowPunct/>
        <w:topLinePunct w:val="0"/>
        <w:bidi w:val="0"/>
        <w:spacing w:line="440" w:lineRule="exact"/>
        <w:ind w:firstLine="480" w:firstLineChars="200"/>
        <w:outlineLvl w:val="9"/>
        <w:rPr>
          <w:rFonts w:ascii="宋体" w:hAnsi="宋体" w:cs="宋体"/>
          <w:b/>
          <w:bCs/>
          <w:sz w:val="44"/>
          <w:szCs w:val="44"/>
          <w:highlight w:val="none"/>
        </w:rPr>
      </w:pPr>
      <w:r>
        <w:rPr>
          <w:rFonts w:hint="eastAsia" w:ascii="宋体" w:hAnsi="宋体" w:cs="宋体"/>
          <w:sz w:val="24"/>
          <w:highlight w:val="none"/>
        </w:rPr>
        <w:t>八、技术商务评分表</w:t>
      </w: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pPr>
        <w:keepNext w:val="0"/>
        <w:keepLines w:val="0"/>
        <w:pageBreakBefore w:val="0"/>
        <w:kinsoku/>
        <w:overflowPunct/>
        <w:topLinePunct w:val="0"/>
        <w:bidi w:val="0"/>
        <w:spacing w:line="440" w:lineRule="exact"/>
        <w:jc w:val="left"/>
        <w:outlineLvl w:val="9"/>
        <w:rPr>
          <w:rFonts w:hint="eastAsia" w:ascii="宋体" w:hAnsi="宋体" w:eastAsia="宋体" w:cs="宋体"/>
          <w:szCs w:val="21"/>
          <w:highlight w:val="none"/>
          <w:lang w:eastAsia="zh-CN"/>
        </w:rPr>
      </w:pPr>
      <w:r>
        <w:rPr>
          <w:rFonts w:hint="eastAsia" w:ascii="宋体" w:hAnsi="宋体" w:cs="宋体"/>
          <w:szCs w:val="21"/>
          <w:highlight w:val="none"/>
        </w:rPr>
        <w:t>项目名称：中山市公共交通运输集团有限公司</w:t>
      </w:r>
      <w:r>
        <w:rPr>
          <w:rFonts w:hint="eastAsia" w:ascii="宋体" w:hAnsi="宋体" w:cs="宋体"/>
          <w:szCs w:val="21"/>
          <w:highlight w:val="none"/>
          <w:lang w:eastAsia="zh-CN"/>
        </w:rPr>
        <w:t xml:space="preserve">安全管理评估及构建安全生产管理体系项目 </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091"/>
        <w:gridCol w:w="705"/>
        <w:gridCol w:w="4292"/>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091"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05"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4292"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091"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05"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4292"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675" w:hRule="atLeast"/>
          <w:jc w:val="center"/>
        </w:trPr>
        <w:tc>
          <w:tcPr>
            <w:tcW w:w="851" w:type="dxa"/>
            <w:tcBorders>
              <w:top w:val="single" w:color="auto" w:sz="6"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1</w:t>
            </w:r>
          </w:p>
        </w:tc>
        <w:tc>
          <w:tcPr>
            <w:tcW w:w="1091"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业绩经验      </w:t>
            </w:r>
          </w:p>
        </w:tc>
        <w:tc>
          <w:tcPr>
            <w:tcW w:w="705"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15</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供应商每提供一份承办市级道路运输部门项目的业绩合同得5分；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每提供一份承办区级道路运输部门项目的业绩合同得3分；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每提供一份承办企业道路运输行业服务项目的业绩合同得2分；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该项汇总得分不超过15分。</w:t>
            </w:r>
          </w:p>
        </w:tc>
        <w:tc>
          <w:tcPr>
            <w:tcW w:w="983"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98" w:hRule="atLeast"/>
          <w:jc w:val="center"/>
        </w:trPr>
        <w:tc>
          <w:tcPr>
            <w:tcW w:w="851" w:type="dxa"/>
            <w:tcBorders>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091"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技术实力</w:t>
            </w:r>
          </w:p>
        </w:tc>
        <w:tc>
          <w:tcPr>
            <w:tcW w:w="705"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w:t>
            </w:r>
            <w:r>
              <w:rPr>
                <w:rFonts w:hint="eastAsia" w:ascii="宋体" w:hAnsi="宋体" w:cs="宋体"/>
                <w:szCs w:val="21"/>
                <w:highlight w:val="none"/>
                <w:lang w:val="en-US" w:eastAsia="zh-CN"/>
              </w:rPr>
              <w:t>具有自主开发有关</w:t>
            </w:r>
            <w:r>
              <w:rPr>
                <w:rFonts w:hint="eastAsia" w:ascii="宋体" w:hAnsi="宋体" w:cs="宋体"/>
                <w:kern w:val="2"/>
                <w:sz w:val="21"/>
                <w:szCs w:val="21"/>
                <w:highlight w:val="none"/>
                <w:lang w:val="en-US" w:eastAsia="zh-CN" w:bidi="ar"/>
              </w:rPr>
              <w:t>道路运输行业的安全系统</w:t>
            </w:r>
            <w:r>
              <w:rPr>
                <w:rFonts w:hint="eastAsia" w:ascii="宋体" w:hAnsi="宋体" w:cs="宋体"/>
                <w:szCs w:val="21"/>
                <w:highlight w:val="none"/>
                <w:lang w:val="en-US" w:eastAsia="zh-CN"/>
              </w:rPr>
              <w:t>，提供相关证明材料得20分；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该项汇总得分不超过20分。</w:t>
            </w:r>
          </w:p>
        </w:tc>
        <w:tc>
          <w:tcPr>
            <w:tcW w:w="983"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987"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1075" w:type="dxa"/>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c>
          <w:tcPr>
            <w:tcW w:w="963" w:type="dxa"/>
            <w:tcBorders>
              <w:left w:val="nil"/>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eastAsia" w:ascii="宋体" w:hAnsi="宋体" w:cs="宋体"/>
                <w:kern w:val="2"/>
                <w:sz w:val="21"/>
                <w:szCs w:val="21"/>
                <w:highlight w:val="none"/>
                <w:lang w:val="en-US" w:eastAsia="zh-CN" w:bidi="ar"/>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114" w:hRule="atLeast"/>
          <w:jc w:val="center"/>
        </w:trPr>
        <w:tc>
          <w:tcPr>
            <w:tcW w:w="851" w:type="dxa"/>
            <w:tcBorders>
              <w:top w:val="single" w:color="auto" w:sz="6"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1091"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学术成果</w:t>
            </w:r>
          </w:p>
        </w:tc>
        <w:tc>
          <w:tcPr>
            <w:tcW w:w="705"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20</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供应商或任职人员主持编制道路运输行业专著（主编）</w:t>
            </w:r>
            <w:r>
              <w:rPr>
                <w:rFonts w:hint="eastAsia" w:ascii="宋体" w:hAnsi="宋体" w:cs="宋体"/>
                <w:szCs w:val="21"/>
                <w:highlight w:val="none"/>
                <w:lang w:val="en-US" w:eastAsia="zh-CN"/>
              </w:rPr>
              <w:t>，每提供一项10万字以上专著相关证明材料得10分，每提供一项10万字以下专著相关证明得3分；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供应商或任职人员</w:t>
            </w:r>
            <w:r>
              <w:rPr>
                <w:rFonts w:hint="eastAsia" w:ascii="宋体" w:hAnsi="宋体" w:cs="宋体"/>
                <w:szCs w:val="21"/>
                <w:highlight w:val="none"/>
                <w:lang w:val="en-US" w:eastAsia="zh-CN"/>
              </w:rPr>
              <w:t>参与编制</w:t>
            </w:r>
            <w:r>
              <w:rPr>
                <w:rFonts w:hint="eastAsia" w:ascii="宋体" w:hAnsi="宋体" w:cs="宋体"/>
                <w:kern w:val="2"/>
                <w:sz w:val="21"/>
                <w:szCs w:val="21"/>
                <w:highlight w:val="none"/>
                <w:lang w:val="en-US" w:eastAsia="zh-CN" w:bidi="ar"/>
              </w:rPr>
              <w:t>道路运输行业</w:t>
            </w:r>
            <w:r>
              <w:rPr>
                <w:rFonts w:hint="eastAsia" w:ascii="宋体" w:hAnsi="宋体" w:cs="宋体"/>
                <w:szCs w:val="21"/>
                <w:highlight w:val="none"/>
                <w:lang w:val="en-US" w:eastAsia="zh-CN"/>
              </w:rPr>
              <w:t>省（部）级以上规范，并作为省（部）级以上的指导性文件，每提供一项相关证明材料得5分；</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Chars="0"/>
              <w:jc w:val="both"/>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供应商或任职人员</w:t>
            </w:r>
            <w:r>
              <w:rPr>
                <w:rFonts w:hint="eastAsia" w:ascii="宋体" w:hAnsi="宋体" w:cs="宋体"/>
                <w:szCs w:val="21"/>
                <w:highlight w:val="none"/>
                <w:lang w:val="en-US" w:eastAsia="zh-CN"/>
              </w:rPr>
              <w:t>获得实用新型专利，每提供一项相关证明材料得2分。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该项汇总得分不超过20分。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注：需提供报名时间截止前1年内任意3个月的任职人员缴交社保证明或聘用证明，否则不得分。</w:t>
            </w:r>
          </w:p>
        </w:tc>
        <w:tc>
          <w:tcPr>
            <w:tcW w:w="983"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495" w:hRule="atLeast"/>
          <w:jc w:val="center"/>
        </w:trPr>
        <w:tc>
          <w:tcPr>
            <w:tcW w:w="851" w:type="dxa"/>
            <w:tcBorders>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4</w:t>
            </w:r>
          </w:p>
        </w:tc>
        <w:tc>
          <w:tcPr>
            <w:tcW w:w="1091"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服务能力</w:t>
            </w:r>
          </w:p>
        </w:tc>
        <w:tc>
          <w:tcPr>
            <w:tcW w:w="705"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15</w:t>
            </w:r>
          </w:p>
        </w:tc>
        <w:tc>
          <w:tcPr>
            <w:tcW w:w="4292" w:type="dxa"/>
            <w:tcBorders>
              <w:top w:val="single" w:color="auto" w:sz="6"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供应商任职人员具有中级注册安全工程师，</w:t>
            </w:r>
            <w:r>
              <w:rPr>
                <w:rFonts w:hint="eastAsia" w:ascii="宋体" w:hAnsi="宋体" w:cs="宋体"/>
                <w:szCs w:val="21"/>
                <w:highlight w:val="none"/>
                <w:lang w:val="en-US" w:eastAsia="zh-CN"/>
              </w:rPr>
              <w:t>每提供一项相关证明材料得5分；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kern w:val="2"/>
                <w:sz w:val="21"/>
                <w:szCs w:val="21"/>
                <w:highlight w:val="none"/>
                <w:lang w:val="en-US" w:eastAsia="zh-CN" w:bidi="ar"/>
              </w:rPr>
            </w:pPr>
            <w:r>
              <w:rPr>
                <w:rFonts w:hint="eastAsia" w:ascii="宋体" w:hAnsi="宋体" w:cs="宋体"/>
                <w:kern w:val="2"/>
                <w:sz w:val="21"/>
                <w:szCs w:val="21"/>
                <w:highlight w:val="none"/>
                <w:lang w:val="en-US" w:eastAsia="zh-CN" w:bidi="ar"/>
              </w:rPr>
              <w:t>供应商任职人员为道路运输部门顾问或道路运输行业专家库成员：</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省级，</w:t>
            </w:r>
            <w:r>
              <w:rPr>
                <w:rFonts w:hint="eastAsia" w:ascii="宋体" w:hAnsi="宋体" w:cs="宋体"/>
                <w:szCs w:val="21"/>
                <w:highlight w:val="none"/>
                <w:lang w:val="en-US" w:eastAsia="zh-CN"/>
              </w:rPr>
              <w:t>每提供一项相关证明材料得4分；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市级，每提供一项相关证明材料得3分；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kern w:val="2"/>
                <w:sz w:val="21"/>
                <w:szCs w:val="21"/>
                <w:highlight w:val="none"/>
                <w:lang w:val="en-US" w:eastAsia="zh-CN" w:bidi="ar"/>
              </w:rPr>
              <w:t>区级，</w:t>
            </w:r>
            <w:r>
              <w:rPr>
                <w:rFonts w:hint="eastAsia" w:ascii="宋体" w:hAnsi="宋体" w:cs="宋体"/>
                <w:szCs w:val="21"/>
                <w:highlight w:val="none"/>
                <w:lang w:val="en-US" w:eastAsia="zh-CN"/>
              </w:rPr>
              <w:t>每提供一项相关证明材料得2分；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该项汇总得分不超过15分。</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default" w:ascii="宋体" w:hAnsi="宋体" w:cs="宋体"/>
                <w:szCs w:val="21"/>
                <w:highlight w:val="none"/>
                <w:lang w:val="en-US" w:eastAsia="zh-CN"/>
              </w:rPr>
            </w:pPr>
            <w:r>
              <w:rPr>
                <w:rFonts w:hint="eastAsia" w:ascii="宋体" w:hAnsi="宋体" w:cs="宋体"/>
                <w:szCs w:val="21"/>
                <w:highlight w:val="none"/>
                <w:lang w:val="en-US" w:eastAsia="zh-CN"/>
              </w:rPr>
              <w:t>注：需提供报名时间截止前1年内任意3个月的任职人员缴交社保证明或聘用证明，否则不得分。</w:t>
            </w:r>
          </w:p>
        </w:tc>
        <w:tc>
          <w:tcPr>
            <w:tcW w:w="983"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87" w:type="dxa"/>
            <w:tcBorders>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1075" w:type="dxa"/>
            <w:tcBorders>
              <w:left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c>
          <w:tcPr>
            <w:tcW w:w="963" w:type="dxa"/>
            <w:tcBorders>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942" w:type="dxa"/>
            <w:gridSpan w:val="2"/>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合计</w:t>
            </w:r>
          </w:p>
        </w:tc>
        <w:tc>
          <w:tcPr>
            <w:tcW w:w="705"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0</w:t>
            </w:r>
          </w:p>
        </w:tc>
        <w:tc>
          <w:tcPr>
            <w:tcW w:w="429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评委签名：                   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r>
        <w:rPr>
          <w:rFonts w:hint="eastAsia" w:ascii="宋体" w:hAnsi="宋体" w:cs="宋体"/>
          <w:sz w:val="24"/>
          <w:highlight w:val="none"/>
        </w:rPr>
        <w:t>九、技术商务评分汇总表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评委1</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27"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评委2</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68"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评委3</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214"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评委4</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198"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评委5</w:t>
            </w:r>
          </w:p>
          <w:p>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评分</w:t>
            </w: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十、价格评分汇总表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价格评分汇总表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84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restart"/>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pStyle w:val="31"/>
        <w:keepNext w:val="0"/>
        <w:keepLines w:val="0"/>
        <w:pageBreakBefore w:val="0"/>
        <w:kinsoku/>
        <w:overflowPunct/>
        <w:topLinePunct w:val="0"/>
        <w:bidi w:val="0"/>
        <w:spacing w:after="0" w:line="440" w:lineRule="exact"/>
        <w:ind w:firstLine="210"/>
        <w:outlineLvl w:val="9"/>
        <w:rPr>
          <w:highlight w:val="none"/>
        </w:rPr>
      </w:pPr>
    </w:p>
    <w:p>
      <w:pPr>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outlineLvl w:val="9"/>
        <w:rPr>
          <w:highlight w:val="none"/>
        </w:rPr>
        <w:sectPr>
          <w:pgSz w:w="11907" w:h="16840"/>
          <w:pgMar w:top="1134" w:right="1417" w:bottom="1134" w:left="1417" w:header="624" w:footer="992" w:gutter="0"/>
          <w:cols w:space="720" w:num="1"/>
          <w:docGrid w:linePitch="312" w:charSpace="0"/>
        </w:sectPr>
      </w:pPr>
    </w:p>
    <w:p>
      <w:pPr>
        <w:keepNext w:val="0"/>
        <w:keepLines w:val="0"/>
        <w:pageBreakBefore w:val="0"/>
        <w:kinsoku/>
        <w:overflowPunct/>
        <w:topLinePunct w:val="0"/>
        <w:bidi w:val="0"/>
        <w:spacing w:line="440" w:lineRule="exact"/>
        <w:ind w:firstLine="420" w:firstLineChars="200"/>
        <w:outlineLvl w:val="9"/>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潜在供应商名称</w:t>
            </w:r>
          </w:p>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1105" w:type="dxa"/>
            <w:vAlign w:val="center"/>
          </w:tcPr>
          <w:p>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价格得分</w:t>
            </w:r>
          </w:p>
        </w:tc>
        <w:tc>
          <w:tcPr>
            <w:tcW w:w="1105" w:type="dxa"/>
            <w:vAlign w:val="center"/>
          </w:tcPr>
          <w:p>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szCs w:val="24"/>
                <w:highlight w:val="none"/>
              </w:rPr>
              <w:t>总得分</w:t>
            </w:r>
          </w:p>
        </w:tc>
        <w:tc>
          <w:tcPr>
            <w:tcW w:w="1054" w:type="dxa"/>
            <w:vAlign w:val="center"/>
          </w:tcPr>
          <w:p>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2.上述表格可手写或打印，但不能涂改。</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both"/>
        <w:outlineLvl w:val="9"/>
        <w:rPr>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pPr>
        <w:keepNext w:val="0"/>
        <w:keepLines w:val="0"/>
        <w:pageBreakBefore w:val="0"/>
        <w:kinsoku/>
        <w:overflowPunct/>
        <w:topLinePunct w:val="0"/>
        <w:bidi w:val="0"/>
        <w:adjustRightInd w:val="0"/>
        <w:snapToGrid w:val="0"/>
        <w:spacing w:line="440" w:lineRule="exact"/>
        <w:outlineLvl w:val="9"/>
        <w:rPr>
          <w:rFonts w:ascii="仿宋_GB2312" w:eastAsia="仿宋_GB2312"/>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96"/>
          <w:szCs w:val="96"/>
          <w:highlight w:val="none"/>
        </w:rPr>
      </w:pPr>
    </w:p>
    <w:p>
      <w:pPr>
        <w:pStyle w:val="17"/>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7"/>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7"/>
        <w:keepNext w:val="0"/>
        <w:keepLines w:val="0"/>
        <w:pageBreakBefore w:val="0"/>
        <w:kinsoku/>
        <w:overflowPunct/>
        <w:topLinePunct w:val="0"/>
        <w:bidi w:val="0"/>
        <w:spacing w:line="440" w:lineRule="exact"/>
        <w:jc w:val="both"/>
        <w:outlineLvl w:val="9"/>
        <w:rPr>
          <w:rFonts w:hint="eastAsia" w:ascii="Times New Roman" w:hAnsi="Times New Roman"/>
          <w:b/>
          <w:sz w:val="32"/>
          <w:szCs w:val="32"/>
          <w:highlight w:val="none"/>
        </w:rPr>
      </w:pPr>
      <w:r>
        <w:rPr>
          <w:rFonts w:hint="eastAsia" w:ascii="Times New Roman" w:hAnsi="Times New Roman"/>
          <w:b/>
          <w:sz w:val="32"/>
          <w:szCs w:val="32"/>
          <w:highlight w:val="none"/>
        </w:rPr>
        <w:t>项目名称：中山市公共交通运输集团有限公司安全管理评估及</w:t>
      </w:r>
    </w:p>
    <w:p>
      <w:pPr>
        <w:pStyle w:val="17"/>
        <w:keepNext w:val="0"/>
        <w:keepLines w:val="0"/>
        <w:pageBreakBefore w:val="0"/>
        <w:kinsoku/>
        <w:overflowPunct/>
        <w:topLinePunct w:val="0"/>
        <w:bidi w:val="0"/>
        <w:spacing w:line="440" w:lineRule="exact"/>
        <w:jc w:val="center"/>
        <w:outlineLvl w:val="9"/>
        <w:rPr>
          <w:rFonts w:hint="eastAsia" w:ascii="Times New Roman" w:hAnsi="Times New Roman" w:eastAsia="宋体"/>
          <w:b/>
          <w:sz w:val="32"/>
          <w:szCs w:val="32"/>
          <w:highlight w:val="none"/>
          <w:lang w:eastAsia="zh-CN"/>
        </w:rPr>
      </w:pP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构建安全生产管理体系项目</w:t>
      </w:r>
    </w:p>
    <w:p>
      <w:pPr>
        <w:pStyle w:val="17"/>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pPr>
        <w:pStyle w:val="17"/>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pPr>
        <w:pStyle w:val="17"/>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rPr>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r>
        <w:rPr>
          <w:rFonts w:hint="eastAsia" w:ascii="宋体" w:hAnsi="宋体"/>
          <w:b/>
          <w:bCs/>
          <w:sz w:val="24"/>
          <w:highlight w:val="none"/>
        </w:rPr>
        <w:t>格式1 承诺函</w:t>
      </w:r>
    </w:p>
    <w:p>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中山市公共交通运输集团有限公司安全管理评估及构建安全生产管理体系项目</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w:t>
      </w:r>
      <w:r>
        <w:rPr>
          <w:rFonts w:hint="eastAsia" w:ascii="宋体" w:hAnsi="宋体" w:cs="宋体"/>
          <w:bCs/>
          <w:sz w:val="24"/>
          <w:highlight w:val="none"/>
          <w:lang w:eastAsia="zh-CN"/>
        </w:rPr>
        <w:t>或其他</w:t>
      </w:r>
      <w:r>
        <w:rPr>
          <w:rFonts w:hint="eastAsia" w:ascii="宋体" w:hAnsi="宋体" w:cs="宋体"/>
          <w:bCs/>
          <w:sz w:val="24"/>
          <w:highlight w:val="none"/>
        </w:rPr>
        <w:t>知识产权的起诉。</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7.我方如果中选，将按照贵方采购文件及其修改文件（如有）的要求及我方参评承诺，按质、按量、按期履行全部责任和义务，且不会以任何方式转包或分包本项目。</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8.参评文件有效期：</w:t>
      </w:r>
      <w:r>
        <w:rPr>
          <w:rFonts w:hint="eastAsia" w:ascii="宋体" w:hAnsi="宋体" w:cs="宋体"/>
          <w:bCs/>
          <w:sz w:val="24"/>
          <w:highlight w:val="none"/>
          <w:lang w:val="en-US" w:eastAsia="zh-CN"/>
        </w:rPr>
        <w:t>从参评日起至双方签订合同有效期内。</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地址： </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联系方式：                 </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
          <w:bCs/>
          <w:sz w:val="24"/>
          <w:highlight w:val="none"/>
        </w:rPr>
      </w:pPr>
      <w:r>
        <w:rPr>
          <w:rFonts w:hint="eastAsia" w:ascii="宋体" w:hAnsi="宋体" w:cs="宋体"/>
          <w:bCs/>
          <w:sz w:val="24"/>
          <w:highlight w:val="none"/>
        </w:rPr>
        <w:t>日期：</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jc w:val="left"/>
        <w:outlineLvl w:val="9"/>
        <w:rPr>
          <w:rFonts w:ascii="宋体" w:hAnsi="宋体" w:cs="仿宋_GB2312"/>
          <w:b/>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格式2 法定代表人证明书</w:t>
      </w:r>
    </w:p>
    <w:p>
      <w:pPr>
        <w:keepNext w:val="0"/>
        <w:keepLines w:val="0"/>
        <w:pageBreakBefore w:val="0"/>
        <w:tabs>
          <w:tab w:val="left" w:pos="900"/>
        </w:tabs>
        <w:kinsoku/>
        <w:overflowPunct/>
        <w:topLinePunct w:val="0"/>
        <w:bidi w:val="0"/>
        <w:spacing w:line="440" w:lineRule="exact"/>
        <w:jc w:val="center"/>
        <w:outlineLvl w:val="9"/>
        <w:rPr>
          <w:rFonts w:hint="eastAsia" w:ascii="宋体" w:hAnsi="宋体" w:cs="仿宋_GB2312"/>
          <w:b/>
          <w:sz w:val="44"/>
          <w:szCs w:val="44"/>
          <w:highlight w:val="none"/>
        </w:rPr>
      </w:pPr>
    </w:p>
    <w:p>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overflowPunct/>
        <w:topLinePunct w:val="0"/>
        <w:bidi w:val="0"/>
        <w:spacing w:line="440" w:lineRule="exact"/>
        <w:outlineLvl w:val="9"/>
        <w:rPr>
          <w:rFonts w:ascii="仿宋_GB2312" w:eastAsia="仿宋_GB2312"/>
          <w:bCs/>
          <w:sz w:val="24"/>
          <w:highlight w:val="none"/>
        </w:rPr>
      </w:pPr>
    </w:p>
    <w:p>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签发日期：   年   月    日</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Cs/>
          <w:sz w:val="24"/>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80" w:firstLineChars="200"/>
        <w:outlineLvl w:val="9"/>
        <w:rPr>
          <w:rFonts w:ascii="仿宋_GB2312" w:eastAsia="仿宋_GB2312"/>
          <w:bCs/>
          <w:sz w:val="24"/>
          <w:highlight w:val="none"/>
        </w:rPr>
      </w:pPr>
    </w:p>
    <w:p>
      <w:pPr>
        <w:keepNext w:val="0"/>
        <w:keepLines w:val="0"/>
        <w:pageBreakBefore w:val="0"/>
        <w:kinsoku/>
        <w:overflowPunct/>
        <w:topLinePunct w:val="0"/>
        <w:bidi w:val="0"/>
        <w:spacing w:line="440" w:lineRule="exact"/>
        <w:outlineLvl w:val="9"/>
        <w:rPr>
          <w:rFonts w:ascii="仿宋_GB2312" w:eastAsia="仿宋_GB2312"/>
          <w:bCs/>
          <w:sz w:val="24"/>
          <w:highlight w:val="none"/>
        </w:rPr>
      </w:pPr>
    </w:p>
    <w:p>
      <w:pPr>
        <w:keepNext w:val="0"/>
        <w:keepLines w:val="0"/>
        <w:pageBreakBefore w:val="0"/>
        <w:kinsoku/>
        <w:overflowPunct/>
        <w:topLinePunct w:val="0"/>
        <w:bidi w:val="0"/>
        <w:spacing w:line="440" w:lineRule="exact"/>
        <w:outlineLvl w:val="9"/>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2"/>
        <w:rPr>
          <w:rFonts w:ascii="宋体" w:hAnsi="宋体"/>
          <w:b/>
          <w:bCs/>
          <w:sz w:val="24"/>
          <w:highlight w:val="none"/>
        </w:rPr>
      </w:pPr>
    </w:p>
    <w:p>
      <w:pPr>
        <w:pStyle w:val="2"/>
        <w:rPr>
          <w:rFonts w:ascii="宋体" w:hAnsi="宋体"/>
          <w:b/>
          <w:bCs/>
          <w:sz w:val="24"/>
          <w:highlight w:val="none"/>
        </w:rPr>
      </w:pPr>
    </w:p>
    <w:p>
      <w:pPr>
        <w:pStyle w:val="2"/>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10"/>
        <w:outlineLvl w:val="9"/>
        <w:rPr>
          <w:highlight w:val="none"/>
        </w:rPr>
      </w:pPr>
    </w:p>
    <w:p>
      <w:pPr>
        <w:keepNext w:val="0"/>
        <w:keepLines w:val="0"/>
        <w:pageBreakBefore w:val="0"/>
        <w:kinsoku/>
        <w:wordWrap/>
        <w:overflowPunct/>
        <w:topLinePunct w:val="0"/>
        <w:bidi w:val="0"/>
        <w:adjustRightInd w:val="0"/>
        <w:snapToGrid w:val="0"/>
        <w:spacing w:line="560" w:lineRule="exact"/>
        <w:rPr>
          <w:rFonts w:ascii="宋体" w:hAnsi="宋体"/>
          <w:b/>
          <w:bCs/>
          <w:color w:val="auto"/>
          <w:sz w:val="24"/>
          <w:highlight w:val="none"/>
        </w:rPr>
      </w:pPr>
      <w:r>
        <w:rPr>
          <w:rFonts w:hint="eastAsia" w:ascii="宋体" w:hAnsi="宋体" w:eastAsia="宋体" w:cs="Times New Roman"/>
          <w:b/>
          <w:bCs/>
          <w:sz w:val="24"/>
          <w:szCs w:val="24"/>
          <w:highlight w:val="none"/>
          <w:lang w:val="en-US" w:eastAsia="zh-CN"/>
        </w:rPr>
        <w:t xml:space="preserve">格式3 </w:t>
      </w:r>
      <w:r>
        <w:rPr>
          <w:rFonts w:hint="eastAsia" w:ascii="宋体" w:hAnsi="宋体" w:eastAsia="宋体" w:cs="Times New Roman"/>
          <w:b/>
          <w:bCs/>
          <w:sz w:val="24"/>
          <w:szCs w:val="24"/>
          <w:highlight w:val="none"/>
        </w:rPr>
        <w:t>法定代表人授权委托书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致：</w:t>
      </w:r>
      <w:r>
        <w:rPr>
          <w:rFonts w:hint="eastAsia" w:ascii="宋体" w:hAnsi="宋体" w:eastAsia="宋体" w:cs="宋体"/>
          <w:bCs/>
          <w:color w:val="auto"/>
          <w:sz w:val="28"/>
          <w:szCs w:val="28"/>
          <w:highlight w:val="none"/>
          <w:lang w:val="en-US" w:eastAsia="zh-CN"/>
        </w:rPr>
        <w:t>中山市公共交通运输集团有限公司：</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兹授权</w:t>
      </w:r>
      <w:r>
        <w:rPr>
          <w:rFonts w:hint="eastAsia" w:ascii="宋体" w:hAnsi="宋体" w:eastAsia="宋体" w:cs="宋体"/>
          <w:bCs/>
          <w:color w:val="auto"/>
          <w:sz w:val="28"/>
          <w:szCs w:val="28"/>
          <w:highlight w:val="none"/>
          <w:u w:val="single"/>
          <w:lang w:val="en-US" w:eastAsia="zh-CN"/>
        </w:rPr>
        <w:t xml:space="preserve">          </w:t>
      </w:r>
      <w:r>
        <w:rPr>
          <w:rFonts w:hint="eastAsia" w:ascii="宋体" w:hAnsi="宋体" w:eastAsia="宋体" w:cs="宋体"/>
          <w:bCs/>
          <w:color w:val="auto"/>
          <w:sz w:val="28"/>
          <w:szCs w:val="28"/>
          <w:highlight w:val="none"/>
        </w:rPr>
        <w:t>同志为我方全权代表，</w:t>
      </w:r>
      <w:r>
        <w:rPr>
          <w:rFonts w:hint="eastAsia" w:ascii="宋体" w:hAnsi="宋体" w:eastAsia="宋体" w:cs="宋体"/>
          <w:bCs/>
          <w:color w:val="auto"/>
          <w:sz w:val="28"/>
          <w:szCs w:val="28"/>
          <w:highlight w:val="none"/>
          <w:lang w:val="en-US" w:eastAsia="zh-CN"/>
        </w:rPr>
        <w:t>全权</w:t>
      </w:r>
      <w:r>
        <w:rPr>
          <w:rFonts w:hint="eastAsia" w:ascii="宋体" w:hAnsi="宋体" w:eastAsia="宋体" w:cs="宋体"/>
          <w:bCs/>
          <w:color w:val="auto"/>
          <w:sz w:val="28"/>
          <w:szCs w:val="28"/>
          <w:highlight w:val="none"/>
        </w:rPr>
        <w:t>参与贵方</w:t>
      </w:r>
      <w:r>
        <w:rPr>
          <w:rFonts w:hint="eastAsia" w:ascii="宋体" w:hAnsi="宋体" w:eastAsia="宋体" w:cs="宋体"/>
          <w:bCs/>
          <w:color w:val="auto"/>
          <w:sz w:val="28"/>
          <w:szCs w:val="28"/>
          <w:highlight w:val="none"/>
          <w:lang w:eastAsia="zh-CN"/>
        </w:rPr>
        <w:t>“中山市公共交通运输集团有限公司安全管理评估及构建安全生产管理体系项目”</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en-US" w:eastAsia="zh-CN"/>
        </w:rPr>
        <w:t>参评、</w:t>
      </w:r>
      <w:r>
        <w:rPr>
          <w:rFonts w:hint="eastAsia" w:ascii="宋体" w:hAnsi="宋体" w:eastAsia="宋体" w:cs="宋体"/>
          <w:bCs/>
          <w:color w:val="auto"/>
          <w:sz w:val="28"/>
          <w:szCs w:val="28"/>
          <w:highlight w:val="none"/>
        </w:rPr>
        <w:t>提供与签署确认文书资料</w:t>
      </w:r>
      <w:r>
        <w:rPr>
          <w:rFonts w:hint="eastAsia" w:ascii="宋体" w:hAnsi="宋体" w:eastAsia="宋体" w:cs="宋体"/>
          <w:bCs/>
          <w:color w:val="auto"/>
          <w:sz w:val="28"/>
          <w:szCs w:val="28"/>
          <w:highlight w:val="none"/>
          <w:lang w:val="en-US" w:eastAsia="zh-CN"/>
        </w:rPr>
        <w:t>等一切事宜</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p>
    <w:p>
      <w:pPr>
        <w:keepNext w:val="0"/>
        <w:keepLines w:val="0"/>
        <w:pageBreakBefore w:val="0"/>
        <w:tabs>
          <w:tab w:val="left" w:pos="900"/>
        </w:tabs>
        <w:kinsoku/>
        <w:wordWrap/>
        <w:overflowPunct/>
        <w:topLinePunct w:val="0"/>
        <w:bidi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参评供应商</w:t>
      </w:r>
      <w:r>
        <w:rPr>
          <w:rFonts w:hint="eastAsia" w:ascii="宋体" w:hAnsi="宋体" w:eastAsia="宋体" w:cs="宋体"/>
          <w:b w:val="0"/>
          <w:bCs/>
          <w:color w:val="auto"/>
          <w:sz w:val="28"/>
          <w:szCs w:val="28"/>
          <w:highlight w:val="none"/>
        </w:rPr>
        <w:t>（</w:t>
      </w:r>
      <w:r>
        <w:rPr>
          <w:rFonts w:hint="eastAsia" w:ascii="宋体" w:hAnsi="宋体" w:eastAsia="宋体" w:cs="宋体"/>
          <w:b w:val="0"/>
          <w:bCs/>
          <w:color w:val="auto"/>
          <w:sz w:val="28"/>
          <w:szCs w:val="28"/>
          <w:highlight w:val="none"/>
          <w:lang w:val="en-US" w:eastAsia="zh-CN"/>
        </w:rPr>
        <w:t>盖</w:t>
      </w:r>
      <w:r>
        <w:rPr>
          <w:rFonts w:hint="eastAsia" w:ascii="宋体" w:hAnsi="宋体" w:eastAsia="宋体" w:cs="宋体"/>
          <w:b w:val="0"/>
          <w:bCs/>
          <w:color w:val="auto"/>
          <w:sz w:val="28"/>
          <w:szCs w:val="28"/>
          <w:highlight w:val="none"/>
        </w:rPr>
        <w:t>章）</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签发日期：</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附：</w:t>
      </w:r>
      <w:r>
        <w:rPr>
          <w:rFonts w:hint="eastAsia" w:ascii="宋体" w:hAnsi="宋体" w:eastAsia="宋体" w:cs="宋体"/>
          <w:bCs/>
          <w:color w:val="auto"/>
          <w:sz w:val="28"/>
          <w:szCs w:val="28"/>
          <w:highlight w:val="none"/>
          <w:lang w:val="en-US" w:eastAsia="zh-CN"/>
        </w:rPr>
        <w:t>被</w:t>
      </w:r>
      <w:r>
        <w:rPr>
          <w:rFonts w:hint="eastAsia" w:ascii="宋体" w:hAnsi="宋体" w:eastAsia="宋体" w:cs="宋体"/>
          <w:bCs/>
          <w:color w:val="auto"/>
          <w:sz w:val="28"/>
          <w:szCs w:val="28"/>
          <w:highlight w:val="none"/>
        </w:rPr>
        <w:t>授权代表</w:t>
      </w:r>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lang w:val="en-US" w:eastAsia="zh-CN"/>
        </w:rPr>
        <w:t>签名</w:t>
      </w:r>
      <w:r>
        <w:rPr>
          <w:rFonts w:hint="eastAsia" w:ascii="宋体" w:hAnsi="宋体" w:eastAsia="宋体" w:cs="宋体"/>
          <w:b w:val="0"/>
          <w:bCs/>
          <w:color w:val="auto"/>
          <w:sz w:val="28"/>
          <w:szCs w:val="28"/>
          <w:highlight w:val="none"/>
          <w:lang w:eastAsia="zh-CN"/>
        </w:rPr>
        <w:t>）</w:t>
      </w:r>
      <w:r>
        <w:rPr>
          <w:rFonts w:hint="eastAsia" w:ascii="宋体" w:hAnsi="宋体" w:eastAsia="宋体" w:cs="宋体"/>
          <w:bCs/>
          <w:color w:val="auto"/>
          <w:sz w:val="28"/>
          <w:szCs w:val="28"/>
          <w:highlight w:val="none"/>
        </w:rPr>
        <w:t>：</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身份证号码：</w:t>
      </w:r>
    </w:p>
    <w:p>
      <w:pPr>
        <w:keepNext w:val="0"/>
        <w:keepLines w:val="0"/>
        <w:pageBreakBefore w:val="0"/>
        <w:kinsoku/>
        <w:wordWrap/>
        <w:overflowPunct/>
        <w:topLinePunct w:val="0"/>
        <w:bidi w:val="0"/>
        <w:adjustRightInd w:val="0"/>
        <w:snapToGrid w:val="0"/>
        <w:spacing w:line="560" w:lineRule="exact"/>
        <w:ind w:firstLine="1120" w:firstLineChars="4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联系电话：</w:t>
      </w:r>
    </w:p>
    <w:p>
      <w:pPr>
        <w:pStyle w:val="44"/>
        <w:spacing w:line="560" w:lineRule="exact"/>
        <w:rPr>
          <w:rFonts w:hint="default" w:eastAsia="宋体"/>
          <w:color w:val="auto"/>
          <w:highlight w:val="none"/>
          <w:lang w:val="en-US" w:eastAsia="zh-CN"/>
        </w:rPr>
      </w:pPr>
      <w:r>
        <w:rPr>
          <w:rFonts w:hint="eastAsia" w:ascii="宋体" w:hAnsi="宋体" w:eastAsia="宋体" w:cs="宋体"/>
          <w:bCs/>
          <w:color w:val="auto"/>
          <w:sz w:val="28"/>
          <w:szCs w:val="28"/>
          <w:highlight w:val="none"/>
          <w:lang w:val="en-US" w:eastAsia="zh-CN"/>
        </w:rPr>
        <w:t xml:space="preserve">        联系邮箱：</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授权有效期限：与本公司</w:t>
      </w: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560" w:firstLineChars="2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参评</w:t>
      </w:r>
      <w:r>
        <w:rPr>
          <w:rFonts w:hint="eastAsia" w:ascii="宋体" w:hAnsi="宋体" w:eastAsia="宋体" w:cs="宋体"/>
          <w:bCs/>
          <w:color w:val="auto"/>
          <w:sz w:val="28"/>
          <w:szCs w:val="28"/>
          <w:highlight w:val="none"/>
        </w:rPr>
        <w:t>签</w:t>
      </w:r>
      <w:r>
        <w:rPr>
          <w:rFonts w:hint="eastAsia" w:ascii="宋体" w:hAnsi="宋体" w:eastAsia="宋体" w:cs="宋体"/>
          <w:bCs/>
          <w:color w:val="auto"/>
          <w:sz w:val="28"/>
          <w:szCs w:val="28"/>
          <w:highlight w:val="none"/>
          <w:lang w:val="en-US" w:eastAsia="zh-CN"/>
        </w:rPr>
        <w:t>名</w:t>
      </w:r>
      <w:r>
        <w:rPr>
          <w:rFonts w:hint="eastAsia" w:ascii="宋体" w:hAnsi="宋体" w:eastAsia="宋体" w:cs="宋体"/>
          <w:bCs/>
          <w:color w:val="auto"/>
          <w:sz w:val="28"/>
          <w:szCs w:val="28"/>
          <w:highlight w:val="none"/>
        </w:rPr>
        <w:t>代表为法定代表人</w:t>
      </w:r>
      <w:r>
        <w:rPr>
          <w:rFonts w:hint="eastAsia" w:ascii="宋体" w:hAnsi="宋体" w:eastAsia="宋体" w:cs="宋体"/>
          <w:bCs/>
          <w:color w:val="auto"/>
          <w:sz w:val="28"/>
          <w:szCs w:val="28"/>
          <w:highlight w:val="none"/>
          <w:lang w:val="en-US" w:eastAsia="zh-CN"/>
        </w:rPr>
        <w:t>/负责人</w:t>
      </w:r>
      <w:r>
        <w:rPr>
          <w:rFonts w:hint="eastAsia" w:ascii="宋体" w:hAnsi="宋体" w:eastAsia="宋体" w:cs="宋体"/>
          <w:bCs/>
          <w:color w:val="auto"/>
          <w:sz w:val="28"/>
          <w:szCs w:val="28"/>
          <w:highlight w:val="none"/>
        </w:rPr>
        <w:t>，则</w:t>
      </w:r>
      <w:r>
        <w:rPr>
          <w:rFonts w:hint="eastAsia" w:ascii="宋体" w:hAnsi="宋体" w:eastAsia="宋体" w:cs="宋体"/>
          <w:bCs/>
          <w:color w:val="auto"/>
          <w:sz w:val="28"/>
          <w:szCs w:val="28"/>
          <w:highlight w:val="none"/>
          <w:lang w:eastAsia="zh-CN"/>
        </w:rPr>
        <w:t>无需填写</w:t>
      </w:r>
      <w:r>
        <w:rPr>
          <w:rFonts w:hint="eastAsia" w:ascii="宋体" w:hAnsi="宋体" w:eastAsia="宋体" w:cs="宋体"/>
          <w:bCs/>
          <w:color w:val="auto"/>
          <w:sz w:val="28"/>
          <w:szCs w:val="28"/>
          <w:highlight w:val="none"/>
        </w:rPr>
        <w:t>本授权委托书。</w:t>
      </w:r>
    </w:p>
    <w:p>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60288;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4</w:t>
      </w:r>
      <w:r>
        <w:rPr>
          <w:rFonts w:hint="eastAsia" w:ascii="宋体" w:hAnsi="宋体"/>
          <w:b/>
          <w:bCs/>
          <w:sz w:val="28"/>
          <w:szCs w:val="28"/>
          <w:highlight w:val="none"/>
        </w:rPr>
        <w:t xml:space="preserve"> 营业执照、资质证明等材料</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hint="eastAsia" w:ascii="宋体" w:hAnsi="宋体" w:eastAsia="宋体" w:cs="仿宋_GB2312"/>
          <w:b/>
          <w:sz w:val="28"/>
          <w:szCs w:val="28"/>
          <w:highlight w:val="none"/>
          <w:lang w:eastAsia="zh-CN"/>
        </w:rPr>
      </w:pPr>
      <w:r>
        <w:rPr>
          <w:rFonts w:hint="eastAsia" w:ascii="宋体" w:hAnsi="宋体" w:cs="仿宋_GB2312"/>
          <w:b/>
          <w:sz w:val="28"/>
          <w:szCs w:val="28"/>
          <w:highlight w:val="none"/>
        </w:rPr>
        <w:t>具有独立承担民事责任能力的在中华人民共和国境内注册的企业法人或其他社会组织，具有</w:t>
      </w:r>
      <w:r>
        <w:rPr>
          <w:rFonts w:hint="eastAsia" w:ascii="宋体" w:hAnsi="宋体" w:cs="仿宋_GB2312"/>
          <w:b/>
          <w:sz w:val="28"/>
          <w:szCs w:val="28"/>
          <w:highlight w:val="none"/>
          <w:lang w:val="en-US" w:eastAsia="zh-CN"/>
        </w:rPr>
        <w:t>企业管理咨询服务、安全生产技术服务或安全咨询服务等</w:t>
      </w:r>
      <w:r>
        <w:rPr>
          <w:rFonts w:hint="eastAsia" w:ascii="宋体" w:hAnsi="宋体" w:cs="仿宋_GB2312"/>
          <w:b/>
          <w:sz w:val="28"/>
          <w:szCs w:val="28"/>
          <w:highlight w:val="none"/>
        </w:rPr>
        <w:t>资质，提供营业执照、资质证明等材料并盖章</w:t>
      </w:r>
      <w:r>
        <w:rPr>
          <w:rFonts w:hint="eastAsia" w:ascii="宋体" w:hAnsi="宋体" w:cs="仿宋_GB2312"/>
          <w:b/>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5</w:t>
      </w:r>
      <w:r>
        <w:rPr>
          <w:rFonts w:hint="eastAsia" w:ascii="宋体" w:hAnsi="宋体"/>
          <w:b/>
          <w:bCs/>
          <w:sz w:val="28"/>
          <w:szCs w:val="28"/>
          <w:highlight w:val="none"/>
        </w:rPr>
        <w:t xml:space="preserve"> 业绩经验</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hint="eastAsia" w:ascii="宋体" w:hAnsi="宋体" w:cs="仿宋_GB2312"/>
          <w:b/>
          <w:sz w:val="28"/>
          <w:szCs w:val="28"/>
          <w:highlight w:val="none"/>
          <w:lang w:val="en-US" w:eastAsia="zh-CN"/>
        </w:rPr>
      </w:pPr>
      <w:r>
        <w:rPr>
          <w:rFonts w:hint="eastAsia" w:ascii="宋体" w:hAnsi="宋体" w:cs="仿宋_GB2312"/>
          <w:b/>
          <w:sz w:val="28"/>
          <w:szCs w:val="28"/>
          <w:highlight w:val="none"/>
          <w:lang w:val="en-US" w:eastAsia="zh-CN"/>
        </w:rPr>
        <w:t>供应商承办市级道路运输部门项目；承办区级道路运输部门项目；承办企业道路运输行业服务项目，提供证明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6</w:t>
      </w:r>
      <w:r>
        <w:rPr>
          <w:rFonts w:hint="eastAsia" w:ascii="宋体" w:hAnsi="宋体"/>
          <w:b/>
          <w:bCs/>
          <w:sz w:val="28"/>
          <w:szCs w:val="28"/>
          <w:highlight w:val="none"/>
        </w:rPr>
        <w:t xml:space="preserve"> </w:t>
      </w:r>
      <w:r>
        <w:rPr>
          <w:rFonts w:hint="eastAsia" w:ascii="宋体" w:hAnsi="宋体"/>
          <w:b/>
          <w:bCs/>
          <w:sz w:val="28"/>
          <w:szCs w:val="28"/>
          <w:highlight w:val="none"/>
          <w:lang w:val="en-US" w:eastAsia="zh-CN"/>
        </w:rPr>
        <w:t>技术实力</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供应商具有自主开发有关道路运输行业的安全系统</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kern w:val="2"/>
          <w:sz w:val="28"/>
          <w:szCs w:val="28"/>
          <w:highlight w:val="none"/>
          <w:lang w:val="en-US" w:eastAsia="zh-CN" w:bidi="ar"/>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spacing w:line="440" w:lineRule="exact"/>
        <w:jc w:val="center"/>
        <w:outlineLvl w:val="9"/>
        <w:rPr>
          <w:rFonts w:ascii="宋体" w:hAnsi="宋体"/>
          <w:b/>
          <w:bCs/>
          <w:sz w:val="28"/>
          <w:szCs w:val="28"/>
          <w:highlight w:val="none"/>
        </w:rPr>
      </w:pPr>
    </w:p>
    <w:p>
      <w:pPr>
        <w:keepNext w:val="0"/>
        <w:keepLines w:val="0"/>
        <w:pageBreakBefore w:val="0"/>
        <w:kinsoku/>
        <w:overflowPunct/>
        <w:topLinePunct w:val="0"/>
        <w:bidi w:val="0"/>
        <w:spacing w:line="440" w:lineRule="exact"/>
        <w:jc w:val="left"/>
        <w:outlineLvl w:val="9"/>
        <w:rPr>
          <w:rFonts w:hint="default" w:ascii="宋体" w:hAnsi="宋体" w:cs="宋体"/>
          <w:sz w:val="28"/>
          <w:szCs w:val="28"/>
          <w:highlight w:val="none"/>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7 学术成果</w:t>
      </w:r>
    </w:p>
    <w:p>
      <w:pPr>
        <w:pStyle w:val="13"/>
        <w:keepNext w:val="0"/>
        <w:keepLines w:val="0"/>
        <w:pageBreakBefore w:val="0"/>
        <w:kinsoku/>
        <w:overflowPunct/>
        <w:topLinePunct w:val="0"/>
        <w:bidi w:val="0"/>
        <w:spacing w:line="440" w:lineRule="exact"/>
        <w:outlineLvl w:val="9"/>
        <w:rPr>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供应商或任职人员主持编制道路运输行业专著；供应商或任职人员参与编制道路运输行业省（部）级以上规范，并作为省（部）级以上的指导性文件；供应商或任职人员获得实用新型专利</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及任职人员社保证明或聘用证明</w:t>
      </w:r>
      <w:r>
        <w:rPr>
          <w:rFonts w:hint="eastAsia" w:ascii="宋体" w:hAnsi="宋体" w:cs="仿宋_GB2312"/>
          <w:b/>
          <w:kern w:val="2"/>
          <w:sz w:val="28"/>
          <w:szCs w:val="28"/>
          <w:highlight w:val="none"/>
          <w:lang w:val="en-US" w:eastAsia="zh-CN" w:bidi="ar"/>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spacing w:line="440" w:lineRule="exact"/>
        <w:jc w:val="left"/>
        <w:outlineLvl w:val="9"/>
        <w:rPr>
          <w:rFonts w:hint="default" w:ascii="宋体" w:hAnsi="宋体" w:cs="宋体"/>
          <w:sz w:val="28"/>
          <w:szCs w:val="28"/>
          <w:highlight w:val="none"/>
          <w:lang w:val="en-US"/>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8 服务能力</w:t>
      </w:r>
    </w:p>
    <w:p>
      <w:pPr>
        <w:pStyle w:val="13"/>
        <w:keepNext w:val="0"/>
        <w:keepLines w:val="0"/>
        <w:pageBreakBefore w:val="0"/>
        <w:kinsoku/>
        <w:overflowPunct/>
        <w:topLinePunct w:val="0"/>
        <w:bidi w:val="0"/>
        <w:spacing w:line="440" w:lineRule="exact"/>
        <w:outlineLvl w:val="9"/>
        <w:rPr>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供应商任职人员具有中级注册安全工程师；供应商任职人员为省级、市级或区级道路运输部门顾问或道路运输行业专家库成员</w:t>
      </w:r>
      <w:r>
        <w:rPr>
          <w:rFonts w:hint="eastAsia" w:ascii="宋体" w:hAnsi="宋体" w:cs="仿宋_GB2312"/>
          <w:b/>
          <w:sz w:val="28"/>
          <w:szCs w:val="28"/>
          <w:highlight w:val="none"/>
          <w:lang w:val="en-US" w:eastAsia="zh-CN"/>
        </w:rPr>
        <w:t>，提供证明</w:t>
      </w:r>
      <w:r>
        <w:rPr>
          <w:rFonts w:hint="eastAsia" w:ascii="宋体" w:hAnsi="宋体" w:cs="仿宋_GB2312"/>
          <w:b/>
          <w:sz w:val="28"/>
          <w:szCs w:val="28"/>
          <w:highlight w:val="none"/>
        </w:rPr>
        <w:t>材料</w:t>
      </w:r>
      <w:r>
        <w:rPr>
          <w:rFonts w:hint="eastAsia" w:ascii="宋体" w:hAnsi="宋体" w:cs="仿宋_GB2312"/>
          <w:b/>
          <w:sz w:val="28"/>
          <w:szCs w:val="28"/>
          <w:highlight w:val="none"/>
          <w:lang w:val="en-US" w:eastAsia="zh-CN"/>
        </w:rPr>
        <w:t>及任职人员社保证明或聘用证明</w:t>
      </w:r>
      <w:r>
        <w:rPr>
          <w:rFonts w:hint="eastAsia" w:ascii="宋体" w:hAnsi="宋体" w:cs="仿宋_GB2312"/>
          <w:b/>
          <w:kern w:val="2"/>
          <w:sz w:val="28"/>
          <w:szCs w:val="28"/>
          <w:highlight w:val="none"/>
          <w:lang w:val="en-US" w:eastAsia="zh-CN" w:bidi="ar"/>
        </w:rPr>
        <w:t>。</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9</w:t>
      </w:r>
      <w:r>
        <w:rPr>
          <w:rFonts w:hint="eastAsia" w:ascii="宋体" w:hAnsi="宋体"/>
          <w:b/>
          <w:bCs/>
          <w:sz w:val="28"/>
          <w:szCs w:val="28"/>
          <w:highlight w:val="none"/>
        </w:rPr>
        <w:t xml:space="preserve"> 报价表</w:t>
      </w: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tabs>
          <w:tab w:val="left" w:pos="900"/>
        </w:tabs>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报价表</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2"/>
          <w:szCs w:val="22"/>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宋体"/>
          <w:b/>
          <w:bCs/>
          <w:spacing w:val="-11"/>
          <w:sz w:val="24"/>
          <w:highlight w:val="none"/>
          <w:lang w:eastAsia="zh-CN"/>
        </w:rPr>
      </w:pPr>
      <w:r>
        <w:rPr>
          <w:rFonts w:hint="eastAsia" w:ascii="宋体" w:hAnsi="宋体" w:cs="宋体"/>
          <w:b/>
          <w:bCs/>
          <w:spacing w:val="-11"/>
          <w:sz w:val="24"/>
          <w:highlight w:val="none"/>
        </w:rPr>
        <w:t>项目名称：中山市公共交通运输集团有限公司安全管理评估及构建安全生产管理体系项目</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序号</w:t>
            </w:r>
          </w:p>
        </w:tc>
        <w:tc>
          <w:tcPr>
            <w:tcW w:w="8163" w:type="dxa"/>
          </w:tcPr>
          <w:p>
            <w:pPr>
              <w:keepNext w:val="0"/>
              <w:keepLines w:val="0"/>
              <w:pageBreakBefore w:val="0"/>
              <w:kinsoku/>
              <w:overflowPunct/>
              <w:topLinePunct w:val="0"/>
              <w:bidi w:val="0"/>
              <w:adjustRightInd w:val="0"/>
              <w:snapToGrid w:val="0"/>
              <w:spacing w:line="440" w:lineRule="exact"/>
              <w:jc w:val="center"/>
              <w:outlineLvl w:val="9"/>
              <w:rPr>
                <w:rFonts w:hint="default" w:ascii="宋体" w:hAnsi="宋体" w:eastAsia="宋体"/>
                <w:bCs/>
                <w:sz w:val="24"/>
                <w:highlight w:val="none"/>
                <w:lang w:val="en-US" w:eastAsia="zh-CN"/>
              </w:rPr>
            </w:pPr>
            <w:r>
              <w:rPr>
                <w:rFonts w:hint="eastAsia" w:ascii="宋体" w:hAnsi="宋体"/>
                <w:bCs/>
                <w:sz w:val="24"/>
                <w:highlight w:val="none"/>
                <w:lang w:val="en-US" w:eastAsia="zh-CN"/>
              </w:rPr>
              <w:t>项目</w:t>
            </w:r>
            <w:r>
              <w:rPr>
                <w:rFonts w:hint="eastAsia" w:ascii="宋体" w:hAnsi="宋体"/>
                <w:bCs/>
                <w:sz w:val="24"/>
                <w:highlight w:val="none"/>
              </w:rPr>
              <w:t>内容</w:t>
            </w:r>
            <w:r>
              <w:rPr>
                <w:rFonts w:hint="eastAsia" w:ascii="宋体" w:hAnsi="宋体"/>
                <w:bCs/>
                <w:sz w:val="24"/>
                <w:highlight w:val="none"/>
                <w:lang w:val="en-US" w:eastAsia="zh-CN"/>
              </w:rPr>
              <w:t>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1</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对</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内涉及多个行业领域的安全巡查，多形式对内部管理进行评审，结合</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所涉及的行业特点，针对存在的安全风险、事故隐患和安全生产的薄弱环节进行调查研究，摸清存在的问题，结合各评审人员建议和同类企业的管理经验，编制《中山市公共交通运输集团有限公司安全管理评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2</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健全《中山市公共交通运输集团有限公司安全生产责任制度》。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3</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协助</w:t>
            </w:r>
            <w:r>
              <w:rPr>
                <w:rFonts w:hint="eastAsia" w:cs="宋体"/>
                <w:kern w:val="2"/>
                <w:sz w:val="24"/>
                <w:szCs w:val="24"/>
                <w:highlight w:val="none"/>
                <w:lang w:val="en-US" w:eastAsia="zh-CN" w:bidi="ar-SA"/>
              </w:rPr>
              <w:t>采购人</w:t>
            </w:r>
            <w:r>
              <w:rPr>
                <w:rFonts w:hint="eastAsia" w:ascii="宋体" w:hAnsi="宋体" w:eastAsia="宋体" w:cs="宋体"/>
                <w:kern w:val="2"/>
                <w:sz w:val="24"/>
                <w:szCs w:val="24"/>
                <w:highlight w:val="none"/>
                <w:lang w:val="en-US" w:eastAsia="zh-CN" w:bidi="ar-SA"/>
              </w:rPr>
              <w:t>完成《中山市公共交通运输集团有限公司安全风险分级管控及隐患排查治理双重预防体系建设手册》。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eastAsia="宋体"/>
                <w:bCs/>
                <w:sz w:val="24"/>
                <w:highlight w:val="none"/>
                <w:lang w:val="en-US" w:eastAsia="zh-CN"/>
              </w:rPr>
            </w:pPr>
            <w:r>
              <w:rPr>
                <w:rFonts w:hint="eastAsia" w:ascii="宋体" w:hAnsi="宋体"/>
                <w:bCs/>
                <w:sz w:val="24"/>
                <w:highlight w:val="none"/>
                <w:lang w:val="en-US" w:eastAsia="zh-CN"/>
              </w:rPr>
              <w:t>4</w:t>
            </w:r>
          </w:p>
        </w:tc>
        <w:tc>
          <w:tcPr>
            <w:tcW w:w="8163" w:type="dxa"/>
            <w:vAlign w:val="center"/>
          </w:tcPr>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完成《中山市公共交通运输集团有限公司应急预案评审修改意见》</w:t>
            </w:r>
            <w:r>
              <w:rPr>
                <w:rFonts w:hint="eastAsia" w:cs="宋体"/>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2"/>
          </w:tcPr>
          <w:p>
            <w:pPr>
              <w:keepNext w:val="0"/>
              <w:keepLines w:val="0"/>
              <w:pageBreakBefore w:val="0"/>
              <w:kinsoku/>
              <w:overflowPunct/>
              <w:topLinePunct w:val="0"/>
              <w:bidi w:val="0"/>
              <w:adjustRightInd w:val="0"/>
              <w:snapToGrid w:val="0"/>
              <w:spacing w:line="440" w:lineRule="exact"/>
              <w:jc w:val="left"/>
              <w:outlineLvl w:val="9"/>
              <w:rPr>
                <w:rFonts w:ascii="宋体" w:hAnsi="宋体"/>
                <w:bCs/>
                <w:sz w:val="24"/>
                <w:highlight w:val="none"/>
              </w:rPr>
            </w:pPr>
            <w:r>
              <w:rPr>
                <w:rFonts w:hint="eastAsia" w:ascii="宋体" w:hAnsi="宋体"/>
                <w:bCs/>
                <w:sz w:val="24"/>
                <w:highlight w:val="none"/>
              </w:rPr>
              <w:t>报价（含税）：人民币           元</w:t>
            </w:r>
          </w:p>
        </w:tc>
      </w:tr>
    </w:tbl>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注：</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供应商完成上述项目的所需的调研费、设计费、印刷费、包装费、差旅费、售后服务费等一切费用。未经采购人书面同意，供应商不得向采购人额外收取其他费用</w:t>
      </w:r>
      <w:r>
        <w:rPr>
          <w:rFonts w:hint="eastAsia" w:ascii="宋体" w:hAnsi="宋体" w:cs="宋体"/>
          <w:bCs/>
          <w:sz w:val="24"/>
          <w:highlight w:val="none"/>
        </w:rPr>
        <w:t>。</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3.报价自报名截止之日后90天内有效。</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 xml:space="preserve">参评供应商（盖章）：         </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日期：</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10</w:t>
      </w:r>
      <w:r>
        <w:rPr>
          <w:rFonts w:hint="eastAsia" w:ascii="宋体" w:hAnsi="宋体"/>
          <w:b/>
          <w:bCs/>
          <w:sz w:val="24"/>
          <w:highlight w:val="none"/>
        </w:rPr>
        <w:t xml:space="preserve"> 需求响应表</w:t>
      </w:r>
    </w:p>
    <w:p>
      <w:pPr>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项目名称：中山市公共交通运输集团有限公司安全管理评估及构建安全生产管理体系项目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用户需求书关于采购服务要求。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pPr>
        <w:keepNext w:val="0"/>
        <w:keepLines w:val="0"/>
        <w:pageBreakBefore w:val="0"/>
        <w:kinsoku/>
        <w:overflowPunct/>
        <w:topLinePunct w:val="0"/>
        <w:bidi w:val="0"/>
        <w:spacing w:line="440" w:lineRule="exact"/>
        <w:jc w:val="center"/>
        <w:outlineLvl w:val="9"/>
        <w:rPr>
          <w:sz w:val="44"/>
          <w:szCs w:val="4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pPr>
        <w:pStyle w:val="13"/>
        <w:keepNext w:val="0"/>
        <w:keepLines w:val="0"/>
        <w:pageBreakBefore w:val="0"/>
        <w:kinsoku/>
        <w:overflowPunct/>
        <w:topLinePunct w:val="0"/>
        <w:bidi w:val="0"/>
        <w:spacing w:line="440" w:lineRule="exact"/>
        <w:outlineLvl w:val="9"/>
        <w:rPr>
          <w:rFonts w:ascii="宋体" w:hAnsi="宋体" w:cs="宋体"/>
          <w:sz w:val="24"/>
          <w:szCs w:val="24"/>
          <w:highlight w:val="none"/>
        </w:rPr>
      </w:pPr>
    </w:p>
    <w:bookmarkEnd w:id="0"/>
    <w:bookmarkEnd w:id="4"/>
    <w:p>
      <w:pPr>
        <w:pStyle w:val="13"/>
        <w:keepNext w:val="0"/>
        <w:keepLines w:val="0"/>
        <w:pageBreakBefore w:val="0"/>
        <w:kinsoku/>
        <w:overflowPunct/>
        <w:topLinePunct w:val="0"/>
        <w:bidi w:val="0"/>
        <w:spacing w:line="440" w:lineRule="exact"/>
        <w:outlineLvl w:val="9"/>
        <w:rPr>
          <w:highlight w:val="none"/>
        </w:rPr>
      </w:pPr>
    </w:p>
    <w:p>
      <w:pPr>
        <w:rPr>
          <w:highlight w:val="none"/>
        </w:rPr>
      </w:pPr>
    </w:p>
    <w:p>
      <w:pPr>
        <w:pStyle w:val="2"/>
        <w:rPr>
          <w:highlight w:val="none"/>
        </w:rPr>
      </w:pPr>
    </w:p>
    <w:p>
      <w:pPr>
        <w:pStyle w:val="2"/>
        <w:rPr>
          <w:highlight w:val="none"/>
        </w:rPr>
      </w:pPr>
    </w:p>
    <w:p>
      <w:pPr>
        <w:pStyle w:val="2"/>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spacing w:val="6"/>
          <w:sz w:val="21"/>
          <w:szCs w:val="21"/>
          <w:highlight w:val="none"/>
          <w:lang w:val="en-US" w:eastAsia="zh-CN"/>
        </w:rPr>
      </w:pPr>
    </w:p>
    <w:p>
      <w:pPr>
        <w:spacing w:line="460" w:lineRule="exact"/>
        <w:ind w:right="0" w:rightChars="0" w:firstLine="0" w:firstLineChars="0"/>
        <w:rPr>
          <w:rFonts w:hint="default"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委托方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r>
        <w:rPr>
          <w:rFonts w:hint="eastAsia" w:ascii="仿宋" w:hAnsi="仿宋" w:eastAsia="仿宋" w:cs="仿宋"/>
          <w:b w:val="0"/>
          <w:color w:val="auto"/>
          <w:spacing w:val="6"/>
          <w:sz w:val="24"/>
          <w:szCs w:val="24"/>
          <w:highlight w:val="none"/>
          <w:lang w:val="en-US" w:eastAsia="zh-CN"/>
        </w:rPr>
        <w:t>中山市公共交通运输集团有限公司</w:t>
      </w:r>
    </w:p>
    <w:p>
      <w:pPr>
        <w:spacing w:line="460" w:lineRule="exact"/>
        <w:ind w:right="0" w:rightChars="0" w:firstLine="0" w:firstLineChars="0"/>
        <w:rPr>
          <w:rFonts w:hint="eastAsia" w:ascii="仿宋" w:hAnsi="仿宋" w:eastAsia="仿宋" w:cs="仿宋"/>
          <w:b w:val="0"/>
          <w:color w:val="auto"/>
          <w:spacing w:val="6"/>
          <w:sz w:val="24"/>
          <w:szCs w:val="24"/>
          <w:highlight w:val="none"/>
          <w:u w:val="none"/>
        </w:rPr>
      </w:pP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受托方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甲乙双方经过友好协商，本着公平、诚实、信用的原则，在平等自愿、互惠互利的基础上，就</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向乙方采购</w:t>
      </w:r>
      <w:r>
        <w:rPr>
          <w:rFonts w:hint="eastAsia" w:ascii="仿宋" w:hAnsi="仿宋" w:eastAsia="仿宋" w:cs="仿宋"/>
          <w:b w:val="0"/>
          <w:color w:val="auto"/>
          <w:spacing w:val="6"/>
          <w:kern w:val="2"/>
          <w:sz w:val="24"/>
          <w:szCs w:val="24"/>
          <w:highlight w:val="none"/>
          <w:lang w:val="en-US" w:eastAsia="zh-CN"/>
        </w:rPr>
        <w:t>构建安全管理评估及构建安全生产管理体系项目</w:t>
      </w:r>
      <w:r>
        <w:rPr>
          <w:rFonts w:hint="eastAsia" w:ascii="仿宋" w:hAnsi="仿宋" w:eastAsia="仿宋" w:cs="仿宋"/>
          <w:color w:val="auto"/>
          <w:spacing w:val="6"/>
          <w:sz w:val="24"/>
          <w:szCs w:val="24"/>
          <w:highlight w:val="none"/>
        </w:rPr>
        <w:t>事</w:t>
      </w:r>
      <w:r>
        <w:rPr>
          <w:rFonts w:hint="eastAsia" w:ascii="仿宋" w:hAnsi="仿宋" w:eastAsia="仿宋" w:cs="仿宋"/>
          <w:color w:val="auto"/>
          <w:spacing w:val="6"/>
          <w:sz w:val="24"/>
          <w:szCs w:val="24"/>
          <w:highlight w:val="none"/>
          <w:lang w:val="en-US" w:eastAsia="zh-CN"/>
        </w:rPr>
        <w:t>宜</w:t>
      </w:r>
      <w:r>
        <w:rPr>
          <w:rFonts w:hint="eastAsia" w:ascii="仿宋" w:hAnsi="仿宋" w:eastAsia="仿宋" w:cs="仿宋"/>
          <w:color w:val="auto"/>
          <w:spacing w:val="6"/>
          <w:sz w:val="24"/>
          <w:szCs w:val="24"/>
          <w:highlight w:val="none"/>
        </w:rPr>
        <w:t>，根据</w:t>
      </w:r>
      <w:r>
        <w:rPr>
          <w:rFonts w:hint="eastAsia" w:ascii="仿宋" w:hAnsi="仿宋" w:eastAsia="仿宋" w:cs="仿宋"/>
          <w:color w:val="auto"/>
          <w:spacing w:val="6"/>
          <w:sz w:val="24"/>
          <w:szCs w:val="24"/>
          <w:highlight w:val="none"/>
          <w:lang w:eastAsia="zh-CN"/>
        </w:rPr>
        <w:t>《中华人民共和国民法典》</w:t>
      </w:r>
      <w:r>
        <w:rPr>
          <w:rFonts w:hint="eastAsia" w:ascii="仿宋" w:hAnsi="仿宋" w:eastAsia="仿宋" w:cs="仿宋"/>
          <w:color w:val="auto"/>
          <w:spacing w:val="6"/>
          <w:sz w:val="24"/>
          <w:szCs w:val="24"/>
          <w:highlight w:val="none"/>
        </w:rPr>
        <w:t>及相关法律法规的规定，就下列条款达成一致，签</w:t>
      </w:r>
      <w:r>
        <w:rPr>
          <w:rFonts w:hint="eastAsia" w:ascii="仿宋" w:hAnsi="仿宋" w:eastAsia="仿宋" w:cs="仿宋"/>
          <w:color w:val="auto"/>
          <w:spacing w:val="6"/>
          <w:sz w:val="24"/>
          <w:szCs w:val="24"/>
          <w:highlight w:val="none"/>
          <w:lang w:val="en-US" w:eastAsia="zh-CN"/>
        </w:rPr>
        <w:t>订</w:t>
      </w:r>
      <w:r>
        <w:rPr>
          <w:rFonts w:hint="eastAsia" w:ascii="仿宋" w:hAnsi="仿宋" w:eastAsia="仿宋" w:cs="仿宋"/>
          <w:color w:val="auto"/>
          <w:spacing w:val="6"/>
          <w:sz w:val="24"/>
          <w:szCs w:val="24"/>
          <w:highlight w:val="none"/>
        </w:rPr>
        <w:t>本合同</w:t>
      </w:r>
      <w:r>
        <w:rPr>
          <w:rFonts w:hint="eastAsia" w:ascii="仿宋" w:hAnsi="仿宋" w:eastAsia="仿宋" w:cs="仿宋"/>
          <w:color w:val="auto"/>
          <w:spacing w:val="6"/>
          <w:sz w:val="24"/>
          <w:szCs w:val="24"/>
          <w:highlight w:val="none"/>
          <w:lang w:val="en-US" w:eastAsia="zh-CN"/>
        </w:rPr>
        <w:t>,以资共同遵守</w:t>
      </w:r>
      <w:r>
        <w:rPr>
          <w:rFonts w:hint="eastAsia" w:ascii="仿宋" w:hAnsi="仿宋" w:eastAsia="仿宋" w:cs="仿宋"/>
          <w:color w:val="auto"/>
          <w:spacing w:val="6"/>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eastAsia" w:ascii="仿宋" w:hAnsi="仿宋" w:eastAsia="仿宋" w:cs="仿宋"/>
          <w:b w:val="0"/>
          <w:color w:val="auto"/>
          <w:spacing w:val="6"/>
          <w:sz w:val="24"/>
          <w:szCs w:val="24"/>
          <w:highlight w:val="none"/>
          <w:lang w:eastAsia="zh-CN"/>
        </w:rPr>
      </w:pPr>
      <w:r>
        <w:rPr>
          <w:rFonts w:hint="eastAsia" w:ascii="仿宋" w:hAnsi="仿宋" w:eastAsia="仿宋" w:cs="仿宋"/>
          <w:b w:val="0"/>
          <w:color w:val="auto"/>
          <w:spacing w:val="6"/>
          <w:sz w:val="24"/>
          <w:szCs w:val="24"/>
          <w:highlight w:val="none"/>
        </w:rPr>
        <w:t>一</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项目内容</w:t>
      </w:r>
    </w:p>
    <w:p>
      <w:pPr>
        <w:pStyle w:val="14"/>
        <w:spacing w:line="460" w:lineRule="exact"/>
        <w:ind w:left="0" w:firstLine="504" w:firstLineChars="200"/>
        <w:rPr>
          <w:rFonts w:hint="eastAsia" w:ascii="仿宋" w:hAnsi="仿宋" w:eastAsia="仿宋" w:cs="仿宋"/>
          <w:color w:val="000000"/>
          <w:sz w:val="24"/>
          <w:szCs w:val="24"/>
          <w:highlight w:val="none"/>
        </w:rPr>
      </w:pPr>
      <w:r>
        <w:rPr>
          <w:rFonts w:hint="eastAsia" w:ascii="仿宋" w:hAnsi="仿宋" w:eastAsia="仿宋" w:cs="仿宋"/>
          <w:color w:val="auto"/>
          <w:spacing w:val="6"/>
          <w:sz w:val="24"/>
          <w:szCs w:val="24"/>
          <w:highlight w:val="none"/>
        </w:rPr>
        <w:t>乙方按</w:t>
      </w:r>
      <w:r>
        <w:rPr>
          <w:rFonts w:hint="eastAsia" w:ascii="仿宋" w:hAnsi="仿宋" w:eastAsia="仿宋" w:cs="仿宋"/>
          <w:color w:val="auto"/>
          <w:spacing w:val="6"/>
          <w:sz w:val="24"/>
          <w:szCs w:val="24"/>
          <w:highlight w:val="none"/>
          <w:lang w:eastAsia="zh-CN"/>
        </w:rPr>
        <w:t>以下</w:t>
      </w:r>
      <w:r>
        <w:rPr>
          <w:rFonts w:hint="eastAsia" w:ascii="仿宋" w:hAnsi="仿宋" w:eastAsia="仿宋" w:cs="仿宋"/>
          <w:color w:val="auto"/>
          <w:spacing w:val="6"/>
          <w:sz w:val="24"/>
          <w:szCs w:val="24"/>
          <w:highlight w:val="none"/>
        </w:rPr>
        <w:t>内容对</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提供项目服务</w:t>
      </w:r>
      <w:r>
        <w:rPr>
          <w:rFonts w:hint="eastAsia" w:ascii="仿宋" w:hAnsi="仿宋" w:eastAsia="仿宋" w:cs="仿宋"/>
          <w:color w:val="auto"/>
          <w:spacing w:val="6"/>
          <w:sz w:val="24"/>
          <w:szCs w:val="24"/>
          <w:highlight w:val="none"/>
          <w:lang w:eastAsia="zh-CN"/>
        </w:rPr>
        <w:t>：</w:t>
      </w:r>
    </w:p>
    <w:p>
      <w:pPr>
        <w:keepNext w:val="0"/>
        <w:keepLines w:val="0"/>
        <w:pageBreakBefore w:val="0"/>
        <w:widowControl/>
        <w:kinsoku/>
        <w:overflowPunct/>
        <w:topLinePunct w:val="0"/>
        <w:bidi w:val="0"/>
        <w:spacing w:line="440" w:lineRule="exact"/>
        <w:ind w:firstLine="480" w:firstLineChars="200"/>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对甲方公司内涉及多个行业领域的安全巡查，多形式对内部管理进行评审，结合甲方所涉及的行业特点，针对存在的安全风险、事故隐患和安全生产的薄弱环节进行调查研究，摸清存在的问题，结合各评审人员建议和同类企业的管理经验，编制《中山市公共交通运输集团有限公司安全管理评审报告》。</w:t>
      </w:r>
    </w:p>
    <w:p>
      <w:pPr>
        <w:pStyle w:val="2"/>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（二）协助甲方健全《中山市公共交通运输集团有限公司安全生产责任制度》。</w:t>
      </w:r>
    </w:p>
    <w:p>
      <w:pPr>
        <w:pStyle w:val="2"/>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（三）协助甲方完成《中山市公共交通运输集团有限公司安全风险分级管控及隐患排查治理双重预防体系建设手册》。</w:t>
      </w:r>
    </w:p>
    <w:p>
      <w:pPr>
        <w:pStyle w:val="2"/>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（四）完成《中山市公共交通运输集团有限公司应急预案评审修改意见》。</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二</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履行期限及地点</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期限：</w:t>
      </w:r>
      <w:r>
        <w:rPr>
          <w:rFonts w:hint="eastAsia" w:ascii="仿宋" w:hAnsi="仿宋" w:eastAsia="仿宋" w:cs="仿宋"/>
          <w:color w:val="auto"/>
          <w:spacing w:val="6"/>
          <w:sz w:val="24"/>
          <w:szCs w:val="24"/>
          <w:highlight w:val="none"/>
        </w:rPr>
        <w:t>自本合同签订之日起至</w:t>
      </w:r>
      <w:r>
        <w:rPr>
          <w:rFonts w:hint="eastAsia" w:ascii="仿宋" w:hAnsi="仿宋" w:eastAsia="仿宋" w:cs="仿宋"/>
          <w:color w:val="auto"/>
          <w:spacing w:val="6"/>
          <w:sz w:val="24"/>
          <w:szCs w:val="24"/>
          <w:highlight w:val="none"/>
          <w:u w:val="single"/>
          <w:lang w:val="en-US" w:eastAsia="zh-CN"/>
        </w:rPr>
        <w:t>项目完成</w:t>
      </w:r>
      <w:bookmarkStart w:id="5" w:name="_GoBack"/>
      <w:bookmarkEnd w:id="5"/>
      <w:r>
        <w:rPr>
          <w:rFonts w:hint="eastAsia" w:ascii="仿宋" w:hAnsi="仿宋" w:eastAsia="仿宋" w:cs="仿宋"/>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地点：甲方所在地</w:t>
      </w:r>
      <w:r>
        <w:rPr>
          <w:rFonts w:hint="eastAsia" w:ascii="仿宋" w:hAnsi="仿宋" w:eastAsia="仿宋" w:cs="仿宋"/>
          <w:color w:val="auto"/>
          <w:spacing w:val="6"/>
          <w:sz w:val="24"/>
          <w:szCs w:val="24"/>
          <w:highlight w:val="none"/>
          <w:lang w:val="en-US" w:eastAsia="zh-CN"/>
        </w:rPr>
        <w:t>或按双方协商地点</w:t>
      </w:r>
      <w:r>
        <w:rPr>
          <w:rFonts w:hint="eastAsia" w:ascii="仿宋" w:hAnsi="仿宋" w:eastAsia="仿宋" w:cs="仿宋"/>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三</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职责</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乙方应按本合同第一</w:t>
      </w:r>
      <w:r>
        <w:rPr>
          <w:rFonts w:hint="eastAsia" w:ascii="仿宋" w:hAnsi="仿宋" w:eastAsia="仿宋" w:cs="仿宋"/>
          <w:color w:val="auto"/>
          <w:spacing w:val="6"/>
          <w:sz w:val="24"/>
          <w:szCs w:val="24"/>
          <w:highlight w:val="none"/>
          <w:lang w:val="en-US" w:eastAsia="zh-CN"/>
        </w:rPr>
        <w:t>项约定的内容</w:t>
      </w:r>
      <w:r>
        <w:rPr>
          <w:rFonts w:hint="eastAsia" w:ascii="仿宋" w:hAnsi="仿宋" w:eastAsia="仿宋" w:cs="仿宋"/>
          <w:color w:val="auto"/>
          <w:spacing w:val="6"/>
          <w:sz w:val="24"/>
          <w:szCs w:val="24"/>
          <w:highlight w:val="none"/>
        </w:rPr>
        <w:t>为甲方提供服务。</w:t>
      </w:r>
    </w:p>
    <w:p>
      <w:pPr>
        <w:keepNext w:val="0"/>
        <w:keepLines w:val="0"/>
        <w:pageBreakBefore w:val="0"/>
        <w:widowControl w:val="0"/>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甲方应为乙方提供工作条件，积极配合工作，并按合同要求支付费用。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如乙方本次提供的服务有任何不周之处，甲方可与乙方沟通联络，并提出意见和建议。</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四</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售后服务</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val="en-US" w:eastAsia="zh-CN"/>
        </w:rPr>
        <w:t>项目结束后</w:t>
      </w:r>
      <w:r>
        <w:rPr>
          <w:rFonts w:hint="eastAsia" w:ascii="仿宋" w:hAnsi="仿宋" w:eastAsia="仿宋" w:cs="仿宋"/>
          <w:color w:val="auto"/>
          <w:spacing w:val="6"/>
          <w:sz w:val="24"/>
          <w:szCs w:val="24"/>
          <w:highlight w:val="none"/>
        </w:rPr>
        <w:t>，乙方应随时与甲方保持联络，回答甲方提出</w:t>
      </w:r>
      <w:r>
        <w:rPr>
          <w:rFonts w:hint="eastAsia" w:ascii="仿宋" w:hAnsi="仿宋" w:eastAsia="仿宋" w:cs="仿宋"/>
          <w:color w:val="auto"/>
          <w:spacing w:val="6"/>
          <w:sz w:val="24"/>
          <w:szCs w:val="24"/>
          <w:highlight w:val="none"/>
          <w:lang w:val="en-US" w:eastAsia="zh-CN"/>
        </w:rPr>
        <w:t>的</w:t>
      </w:r>
      <w:r>
        <w:rPr>
          <w:rFonts w:hint="eastAsia" w:ascii="仿宋" w:hAnsi="仿宋" w:eastAsia="仿宋" w:cs="仿宋"/>
          <w:color w:val="auto"/>
          <w:spacing w:val="6"/>
          <w:sz w:val="24"/>
          <w:szCs w:val="24"/>
          <w:highlight w:val="none"/>
        </w:rPr>
        <w:t>关于</w:t>
      </w:r>
      <w:r>
        <w:rPr>
          <w:rFonts w:hint="eastAsia" w:ascii="仿宋" w:hAnsi="仿宋" w:eastAsia="仿宋" w:cs="仿宋"/>
          <w:b w:val="0"/>
          <w:color w:val="auto"/>
          <w:spacing w:val="6"/>
          <w:kern w:val="2"/>
          <w:sz w:val="24"/>
          <w:szCs w:val="24"/>
          <w:highlight w:val="none"/>
          <w:lang w:val="en-US" w:eastAsia="zh-CN"/>
        </w:rPr>
        <w:t>构建安全管理评估及构建安全生产管理体系项目</w:t>
      </w:r>
      <w:r>
        <w:rPr>
          <w:rFonts w:hint="eastAsia" w:ascii="仿宋" w:hAnsi="仿宋" w:eastAsia="仿宋" w:cs="仿宋"/>
          <w:color w:val="auto"/>
          <w:spacing w:val="6"/>
          <w:sz w:val="24"/>
          <w:szCs w:val="24"/>
          <w:highlight w:val="none"/>
        </w:rPr>
        <w:t>相关的各种问题,并不再收取任何费用。</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五</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保密职责</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甲乙双方在未经对方同意的情况下，不得以任何方式泄露对方资料和数据给任何第三方，否则应赔偿对方全部损失。但甲乙双方公开发放的资料及国家法律</w:t>
      </w:r>
      <w:r>
        <w:rPr>
          <w:rFonts w:hint="eastAsia" w:ascii="仿宋" w:hAnsi="仿宋" w:eastAsia="仿宋" w:cs="仿宋"/>
          <w:color w:val="auto"/>
          <w:spacing w:val="6"/>
          <w:sz w:val="24"/>
          <w:szCs w:val="24"/>
          <w:highlight w:val="none"/>
          <w:lang w:val="en-US" w:eastAsia="zh-CN"/>
        </w:rPr>
        <w:t>法规</w:t>
      </w:r>
      <w:r>
        <w:rPr>
          <w:rFonts w:hint="eastAsia" w:ascii="仿宋" w:hAnsi="仿宋" w:eastAsia="仿宋" w:cs="仿宋"/>
          <w:color w:val="auto"/>
          <w:spacing w:val="6"/>
          <w:sz w:val="24"/>
          <w:szCs w:val="24"/>
          <w:highlight w:val="none"/>
        </w:rPr>
        <w:t>另有规定的除外。</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六</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费用及支付方式</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lang w:val="en-US" w:eastAsia="zh-CN"/>
        </w:rPr>
        <w:t>项目</w:t>
      </w:r>
      <w:r>
        <w:rPr>
          <w:rFonts w:hint="eastAsia" w:ascii="仿宋" w:hAnsi="仿宋" w:eastAsia="仿宋" w:cs="仿宋"/>
          <w:bCs w:val="0"/>
          <w:color w:val="auto"/>
          <w:spacing w:val="6"/>
          <w:sz w:val="24"/>
          <w:szCs w:val="24"/>
          <w:highlight w:val="none"/>
        </w:rPr>
        <w:t>费用合计：人民币</w:t>
      </w:r>
      <w:r>
        <w:rPr>
          <w:rFonts w:hint="eastAsia" w:ascii="仿宋" w:hAnsi="仿宋" w:eastAsia="仿宋" w:cs="仿宋"/>
          <w:b w:val="0"/>
          <w:bCs w:val="0"/>
          <w:color w:val="auto"/>
          <w:spacing w:val="6"/>
          <w:sz w:val="24"/>
          <w:szCs w:val="24"/>
          <w:highlight w:val="none"/>
          <w:u w:val="single"/>
          <w:lang w:val="en-US" w:eastAsia="zh-CN"/>
        </w:rPr>
        <w:t xml:space="preserve">    </w:t>
      </w:r>
      <w:r>
        <w:rPr>
          <w:rFonts w:hint="eastAsia" w:ascii="仿宋" w:hAnsi="仿宋" w:eastAsia="仿宋" w:cs="仿宋"/>
          <w:b w:val="0"/>
          <w:bCs w:val="0"/>
          <w:color w:val="auto"/>
          <w:spacing w:val="6"/>
          <w:sz w:val="24"/>
          <w:szCs w:val="24"/>
          <w:highlight w:val="none"/>
          <w:u w:val="none"/>
        </w:rPr>
        <w:t>元整</w:t>
      </w:r>
      <w:r>
        <w:rPr>
          <w:rFonts w:hint="eastAsia" w:ascii="仿宋" w:hAnsi="仿宋" w:eastAsia="仿宋" w:cs="仿宋"/>
          <w:bCs w:val="0"/>
          <w:color w:val="auto"/>
          <w:spacing w:val="6"/>
          <w:sz w:val="24"/>
          <w:szCs w:val="24"/>
          <w:highlight w:val="none"/>
        </w:rPr>
        <w:t>（</w:t>
      </w:r>
      <w:r>
        <w:rPr>
          <w:rFonts w:hint="eastAsia" w:ascii="仿宋" w:hAnsi="仿宋" w:eastAsia="仿宋" w:cs="仿宋"/>
          <w:bCs w:val="0"/>
          <w:color w:val="auto"/>
          <w:spacing w:val="6"/>
          <w:sz w:val="24"/>
          <w:szCs w:val="24"/>
          <w:highlight w:val="none"/>
          <w:lang w:val="en-US" w:eastAsia="zh-CN"/>
        </w:rPr>
        <w:t>¥</w:t>
      </w:r>
      <w:r>
        <w:rPr>
          <w:rFonts w:hint="eastAsia" w:ascii="仿宋" w:hAnsi="仿宋" w:eastAsia="仿宋" w:cs="仿宋"/>
          <w:bCs w:val="0"/>
          <w:color w:val="auto"/>
          <w:spacing w:val="6"/>
          <w:sz w:val="24"/>
          <w:szCs w:val="24"/>
          <w:highlight w:val="none"/>
          <w:u w:val="single"/>
          <w:lang w:val="en-US" w:eastAsia="zh-CN"/>
        </w:rPr>
        <w:t xml:space="preserve">    </w:t>
      </w:r>
      <w:r>
        <w:rPr>
          <w:rFonts w:hint="eastAsia" w:ascii="仿宋" w:hAnsi="仿宋" w:eastAsia="仿宋" w:cs="仿宋"/>
          <w:bCs w:val="0"/>
          <w:color w:val="auto"/>
          <w:spacing w:val="6"/>
          <w:sz w:val="24"/>
          <w:szCs w:val="24"/>
          <w:highlight w:val="none"/>
          <w:lang w:val="en-US" w:eastAsia="zh-CN"/>
        </w:rPr>
        <w:t>元，</w:t>
      </w:r>
      <w:r>
        <w:rPr>
          <w:rFonts w:hint="eastAsia" w:ascii="仿宋" w:hAnsi="仿宋" w:eastAsia="仿宋" w:cs="仿宋"/>
          <w:color w:val="auto"/>
          <w:spacing w:val="6"/>
          <w:sz w:val="24"/>
          <w:szCs w:val="24"/>
          <w:highlight w:val="none"/>
        </w:rPr>
        <w:t>含税金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交通费等乙方</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履行本合同产生的所有费用）。未经甲方书面同意，乙方不得就本合同的履行另行收取甲方其他费用。</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支付期限：</w:t>
      </w:r>
      <w:r>
        <w:rPr>
          <w:rFonts w:hint="eastAsia" w:ascii="仿宋" w:hAnsi="仿宋" w:eastAsia="仿宋" w:cs="仿宋"/>
          <w:bCs/>
          <w:sz w:val="24"/>
          <w:highlight w:val="none"/>
        </w:rPr>
        <w:t>自本项目</w:t>
      </w:r>
      <w:r>
        <w:rPr>
          <w:rFonts w:hint="eastAsia" w:ascii="仿宋" w:hAnsi="仿宋" w:eastAsia="仿宋" w:cs="仿宋"/>
          <w:bCs/>
          <w:sz w:val="24"/>
          <w:highlight w:val="none"/>
          <w:lang w:val="en-US" w:eastAsia="zh-CN"/>
        </w:rPr>
        <w:t>完成</w:t>
      </w:r>
      <w:r>
        <w:rPr>
          <w:rFonts w:hint="eastAsia" w:ascii="仿宋" w:hAnsi="仿宋" w:eastAsia="仿宋" w:cs="仿宋"/>
          <w:bCs/>
          <w:sz w:val="24"/>
          <w:highlight w:val="none"/>
        </w:rPr>
        <w:t>之日起且采购人收到中选人</w:t>
      </w:r>
      <w:r>
        <w:rPr>
          <w:rFonts w:hint="eastAsia" w:ascii="仿宋" w:hAnsi="仿宋" w:eastAsia="仿宋" w:cs="仿宋"/>
          <w:bCs/>
          <w:sz w:val="24"/>
          <w:highlight w:val="none"/>
          <w:lang w:val="en-US" w:eastAsia="zh-CN"/>
        </w:rPr>
        <w:t>按采购人的要求</w:t>
      </w:r>
      <w:r>
        <w:rPr>
          <w:rFonts w:hint="eastAsia" w:ascii="仿宋" w:hAnsi="仿宋" w:eastAsia="仿宋" w:cs="仿宋"/>
          <w:bCs/>
          <w:sz w:val="24"/>
          <w:highlight w:val="none"/>
        </w:rPr>
        <w:t>提供发票后15个工作日内，采购人以银行转账方式向中选人一次性支付该项目采购金额</w:t>
      </w:r>
      <w:r>
        <w:rPr>
          <w:rFonts w:hint="eastAsia" w:ascii="仿宋" w:hAnsi="仿宋" w:eastAsia="仿宋" w:cs="仿宋"/>
          <w:color w:val="auto"/>
          <w:spacing w:val="6"/>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支付方式：甲方以银行转账方式向乙方支付费</w:t>
      </w:r>
      <w:r>
        <w:rPr>
          <w:rFonts w:hint="eastAsia" w:ascii="仿宋" w:hAnsi="仿宋" w:eastAsia="仿宋" w:cs="仿宋"/>
          <w:color w:val="auto"/>
          <w:spacing w:val="6"/>
          <w:sz w:val="24"/>
          <w:szCs w:val="24"/>
          <w:highlight w:val="none"/>
          <w:lang w:val="en-US" w:eastAsia="zh-CN"/>
        </w:rPr>
        <w:t>用</w:t>
      </w:r>
      <w:r>
        <w:rPr>
          <w:rFonts w:hint="eastAsia" w:ascii="仿宋" w:hAnsi="仿宋" w:eastAsia="仿宋" w:cs="仿宋"/>
          <w:color w:val="auto"/>
          <w:spacing w:val="6"/>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乙方开户银行详细资料如下：</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lang w:val="en-US" w:eastAsia="zh-CN"/>
        </w:rPr>
      </w:pPr>
      <w:r>
        <w:rPr>
          <w:rFonts w:hint="eastAsia" w:ascii="仿宋" w:hAnsi="仿宋" w:eastAsia="仿宋" w:cs="仿宋"/>
          <w:color w:val="auto"/>
          <w:spacing w:val="6"/>
          <w:sz w:val="24"/>
          <w:szCs w:val="24"/>
          <w:highlight w:val="none"/>
        </w:rPr>
        <w:t xml:space="preserve">     开户名：</w:t>
      </w:r>
      <w:r>
        <w:rPr>
          <w:rFonts w:hint="eastAsia" w:ascii="仿宋" w:hAnsi="仿宋" w:eastAsia="仿宋" w:cs="仿宋"/>
          <w:color w:val="auto"/>
          <w:spacing w:val="6"/>
          <w:sz w:val="24"/>
          <w:szCs w:val="24"/>
          <w:highlight w:val="none"/>
          <w:u w:val="none"/>
        </w:rPr>
        <w:t xml:space="preserve"> </w:t>
      </w:r>
      <w:r>
        <w:rPr>
          <w:rFonts w:hint="eastAsia" w:ascii="仿宋" w:hAnsi="仿宋" w:eastAsia="仿宋" w:cs="仿宋"/>
          <w:color w:val="auto"/>
          <w:spacing w:val="6"/>
          <w:sz w:val="24"/>
          <w:szCs w:val="24"/>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rPr>
      </w:pPr>
      <w:r>
        <w:rPr>
          <w:rFonts w:hint="eastAsia" w:ascii="仿宋" w:hAnsi="仿宋" w:eastAsia="仿宋" w:cs="仿宋"/>
          <w:color w:val="auto"/>
          <w:spacing w:val="6"/>
          <w:sz w:val="24"/>
          <w:szCs w:val="24"/>
          <w:highlight w:val="none"/>
        </w:rPr>
        <w:t xml:space="preserve">     开户行：</w:t>
      </w:r>
      <w:r>
        <w:rPr>
          <w:rFonts w:hint="eastAsia" w:ascii="仿宋" w:hAnsi="仿宋" w:eastAsia="仿宋" w:cs="仿宋"/>
          <w:color w:val="auto"/>
          <w:spacing w:val="6"/>
          <w:sz w:val="24"/>
          <w:szCs w:val="24"/>
          <w:highlight w:val="none"/>
          <w:u w:val="non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rPr>
      </w:pPr>
      <w:r>
        <w:rPr>
          <w:rFonts w:hint="eastAsia" w:ascii="仿宋" w:hAnsi="仿宋" w:eastAsia="仿宋" w:cs="仿宋"/>
          <w:color w:val="auto"/>
          <w:spacing w:val="6"/>
          <w:sz w:val="24"/>
          <w:szCs w:val="24"/>
          <w:highlight w:val="none"/>
        </w:rPr>
        <w:t xml:space="preserve">     开户银行账号：</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none"/>
        </w:rPr>
        <w:t xml:space="preserve"> </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七</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违约责任</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本合同在甲乙双方责任义务履行完毕后终止。在</w:t>
      </w:r>
      <w:r>
        <w:rPr>
          <w:rFonts w:hint="eastAsia" w:ascii="仿宋" w:hAnsi="仿宋" w:eastAsia="仿宋" w:cs="仿宋"/>
          <w:color w:val="auto"/>
          <w:spacing w:val="6"/>
          <w:sz w:val="24"/>
          <w:szCs w:val="24"/>
          <w:highlight w:val="none"/>
          <w:lang w:val="en-US" w:eastAsia="zh-CN"/>
        </w:rPr>
        <w:t>双方</w:t>
      </w:r>
      <w:r>
        <w:rPr>
          <w:rFonts w:hint="eastAsia" w:ascii="仿宋" w:hAnsi="仿宋" w:eastAsia="仿宋" w:cs="仿宋"/>
          <w:color w:val="auto"/>
          <w:spacing w:val="6"/>
          <w:sz w:val="24"/>
          <w:szCs w:val="24"/>
          <w:highlight w:val="none"/>
        </w:rPr>
        <w:t>责任义务未履行完毕前，如乙方单方终止合同</w:t>
      </w:r>
      <w:r>
        <w:rPr>
          <w:rFonts w:hint="eastAsia" w:ascii="仿宋" w:hAnsi="仿宋" w:eastAsia="仿宋" w:cs="仿宋"/>
          <w:color w:val="auto"/>
          <w:spacing w:val="6"/>
          <w:sz w:val="24"/>
          <w:szCs w:val="24"/>
          <w:highlight w:val="none"/>
          <w:lang w:val="en-US" w:eastAsia="zh-CN"/>
        </w:rPr>
        <w:t>的，则乙方</w:t>
      </w:r>
      <w:r>
        <w:rPr>
          <w:rFonts w:hint="eastAsia" w:ascii="仿宋" w:hAnsi="仿宋" w:eastAsia="仿宋" w:cs="仿宋"/>
          <w:color w:val="auto"/>
          <w:spacing w:val="6"/>
          <w:sz w:val="24"/>
          <w:szCs w:val="24"/>
          <w:highlight w:val="none"/>
        </w:rPr>
        <w:t>应</w:t>
      </w:r>
      <w:r>
        <w:rPr>
          <w:rFonts w:hint="eastAsia" w:ascii="仿宋" w:hAnsi="仿宋" w:eastAsia="仿宋" w:cs="仿宋"/>
          <w:color w:val="auto"/>
          <w:spacing w:val="6"/>
          <w:sz w:val="24"/>
          <w:szCs w:val="24"/>
          <w:highlight w:val="none"/>
          <w:lang w:val="en-US" w:eastAsia="zh-CN"/>
        </w:rPr>
        <w:t>承担期间所产生的一切</w:t>
      </w:r>
      <w:r>
        <w:rPr>
          <w:rFonts w:hint="eastAsia" w:ascii="仿宋" w:hAnsi="仿宋" w:eastAsia="仿宋" w:cs="仿宋"/>
          <w:color w:val="auto"/>
          <w:spacing w:val="6"/>
          <w:sz w:val="24"/>
          <w:szCs w:val="24"/>
          <w:highlight w:val="none"/>
        </w:rPr>
        <w:t>费用，</w:t>
      </w:r>
      <w:r>
        <w:rPr>
          <w:rFonts w:hint="eastAsia" w:ascii="仿宋" w:hAnsi="仿宋" w:eastAsia="仿宋" w:cs="仿宋"/>
          <w:color w:val="auto"/>
          <w:spacing w:val="6"/>
          <w:sz w:val="24"/>
          <w:szCs w:val="24"/>
          <w:highlight w:val="none"/>
          <w:lang w:val="en-US" w:eastAsia="zh-CN"/>
        </w:rPr>
        <w:t>甲方无需向乙方支付因乙方单方终止合同的任何费用，甲方有权向乙方追偿因乙方单方面终止合同而产生的一切费用</w:t>
      </w:r>
      <w:r>
        <w:rPr>
          <w:rFonts w:hint="eastAsia" w:ascii="仿宋" w:hAnsi="仿宋" w:eastAsia="仿宋" w:cs="仿宋"/>
          <w:color w:val="auto"/>
          <w:spacing w:val="6"/>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b w:val="0"/>
          <w:bCs w:val="0"/>
          <w:color w:val="auto"/>
          <w:spacing w:val="6"/>
          <w:sz w:val="24"/>
          <w:szCs w:val="24"/>
          <w:highlight w:val="none"/>
        </w:rPr>
      </w:pPr>
      <w:r>
        <w:rPr>
          <w:rFonts w:hint="eastAsia" w:ascii="仿宋" w:hAnsi="仿宋" w:eastAsia="仿宋" w:cs="仿宋"/>
          <w:b w:val="0"/>
          <w:color w:val="auto"/>
          <w:spacing w:val="6"/>
          <w:sz w:val="24"/>
          <w:szCs w:val="24"/>
          <w:highlight w:val="none"/>
          <w:lang w:eastAsia="zh-CN"/>
        </w:rPr>
        <w:t>八、</w:t>
      </w:r>
      <w:r>
        <w:rPr>
          <w:rFonts w:hint="eastAsia" w:ascii="仿宋" w:hAnsi="仿宋" w:eastAsia="仿宋" w:cs="仿宋"/>
          <w:b w:val="0"/>
          <w:color w:val="auto"/>
          <w:spacing w:val="6"/>
          <w:sz w:val="24"/>
          <w:szCs w:val="24"/>
          <w:highlight w:val="none"/>
        </w:rPr>
        <w:t>廉洁条款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甲、乙双方应当自觉遵守国家、地方法律法规以及本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的约定，在</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的订立、履行过程中廉洁自律。</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二</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甲方及其工作人员均不得以任何形式向乙方索要和收受回扣等好处费。</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三</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甲方工作人员应当保持与乙方的正常业务交往，不得接受乙方的礼金、有价证券和贵重物品，不得在乙方报销任何应由其个人承担的费用。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四</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甲方工作人员不得参加可能对公正开展业务有影响的宴请和娱乐活动。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五</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甲方工作人员不得要求或者接受乙方为其住房装修、婚丧嫁娶、家属和子女的工作安排以及出国等提供方便。</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六</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乙方不得接受甲方工作人员介绍的家属或者亲友从事与</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相关的业务。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七</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八</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乙方如发现甲方工作人员有违反上述廉洁条款者，应向甲方举报。甲方不得找任何借口对乙方进行报复。</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九</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甲方发现乙方有违反本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或者采用不正当的手段行贿甲方工作人员等不正当竞争行为的，甲方有权解除本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并追究乙方相关的法律责任。</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lang w:eastAsia="zh-CN"/>
        </w:rPr>
        <w:t>九、其他约定</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（一）本合同执行过程中</w:t>
      </w:r>
      <w:r>
        <w:rPr>
          <w:rFonts w:hint="eastAsia" w:ascii="仿宋" w:hAnsi="仿宋" w:eastAsia="仿宋" w:cs="仿宋"/>
          <w:color w:val="auto"/>
          <w:spacing w:val="6"/>
          <w:sz w:val="24"/>
          <w:szCs w:val="24"/>
          <w:highlight w:val="none"/>
        </w:rPr>
        <w:t>如</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不可抗力</w:t>
      </w:r>
      <w:r>
        <w:rPr>
          <w:rFonts w:hint="eastAsia" w:ascii="仿宋" w:hAnsi="仿宋" w:eastAsia="仿宋" w:cs="仿宋"/>
          <w:color w:val="auto"/>
          <w:spacing w:val="6"/>
          <w:sz w:val="24"/>
          <w:szCs w:val="24"/>
          <w:highlight w:val="none"/>
          <w:lang w:val="en-US" w:eastAsia="zh-CN"/>
        </w:rPr>
        <w:t>因素</w:t>
      </w:r>
      <w:r>
        <w:rPr>
          <w:rFonts w:hint="eastAsia" w:ascii="仿宋" w:hAnsi="仿宋" w:eastAsia="仿宋" w:cs="仿宋"/>
          <w:color w:val="auto"/>
          <w:spacing w:val="6"/>
          <w:sz w:val="24"/>
          <w:szCs w:val="24"/>
          <w:highlight w:val="none"/>
          <w:lang w:eastAsia="zh-CN"/>
        </w:rPr>
        <w:t>导致</w:t>
      </w:r>
      <w:r>
        <w:rPr>
          <w:rFonts w:hint="eastAsia" w:ascii="仿宋" w:hAnsi="仿宋" w:eastAsia="仿宋" w:cs="仿宋"/>
          <w:color w:val="auto"/>
          <w:spacing w:val="6"/>
          <w:sz w:val="24"/>
          <w:szCs w:val="24"/>
          <w:highlight w:val="none"/>
          <w:lang w:val="en-US" w:eastAsia="zh-CN"/>
        </w:rPr>
        <w:t>项目</w:t>
      </w:r>
      <w:r>
        <w:rPr>
          <w:rFonts w:hint="eastAsia" w:ascii="仿宋" w:hAnsi="仿宋" w:eastAsia="仿宋" w:cs="仿宋"/>
          <w:color w:val="auto"/>
          <w:spacing w:val="6"/>
          <w:sz w:val="24"/>
          <w:szCs w:val="24"/>
          <w:highlight w:val="none"/>
          <w:lang w:eastAsia="zh-CN"/>
        </w:rPr>
        <w:t>须</w:t>
      </w:r>
      <w:r>
        <w:rPr>
          <w:rFonts w:hint="eastAsia" w:ascii="仿宋" w:hAnsi="仿宋" w:eastAsia="仿宋" w:cs="仿宋"/>
          <w:color w:val="auto"/>
          <w:spacing w:val="6"/>
          <w:sz w:val="24"/>
          <w:szCs w:val="24"/>
          <w:highlight w:val="none"/>
        </w:rPr>
        <w:t>延期</w:t>
      </w:r>
      <w:r>
        <w:rPr>
          <w:rFonts w:hint="eastAsia" w:ascii="仿宋" w:hAnsi="仿宋" w:eastAsia="仿宋" w:cs="仿宋"/>
          <w:color w:val="auto"/>
          <w:spacing w:val="6"/>
          <w:sz w:val="24"/>
          <w:szCs w:val="24"/>
          <w:highlight w:val="none"/>
          <w:lang w:val="en-US" w:eastAsia="zh-CN"/>
        </w:rPr>
        <w:t>完成</w:t>
      </w:r>
      <w:r>
        <w:rPr>
          <w:rFonts w:hint="eastAsia" w:ascii="仿宋" w:hAnsi="仿宋" w:eastAsia="仿宋" w:cs="仿宋"/>
          <w:color w:val="auto"/>
          <w:spacing w:val="6"/>
          <w:sz w:val="24"/>
          <w:szCs w:val="24"/>
          <w:highlight w:val="none"/>
          <w:lang w:eastAsia="zh-CN"/>
        </w:rPr>
        <w:t>的，由甲乙双方重新商定时间，乙方</w:t>
      </w:r>
      <w:r>
        <w:rPr>
          <w:rFonts w:hint="eastAsia" w:ascii="仿宋" w:hAnsi="仿宋" w:eastAsia="仿宋" w:cs="仿宋"/>
          <w:color w:val="auto"/>
          <w:spacing w:val="6"/>
          <w:sz w:val="24"/>
          <w:szCs w:val="24"/>
          <w:highlight w:val="none"/>
        </w:rPr>
        <w:t>不</w:t>
      </w:r>
      <w:r>
        <w:rPr>
          <w:rFonts w:hint="eastAsia" w:ascii="仿宋" w:hAnsi="仿宋" w:eastAsia="仿宋" w:cs="仿宋"/>
          <w:color w:val="auto"/>
          <w:spacing w:val="6"/>
          <w:sz w:val="24"/>
          <w:szCs w:val="24"/>
          <w:highlight w:val="none"/>
          <w:lang w:eastAsia="zh-CN"/>
        </w:rPr>
        <w:t>得</w:t>
      </w:r>
      <w:r>
        <w:rPr>
          <w:rFonts w:hint="eastAsia" w:ascii="仿宋" w:hAnsi="仿宋" w:eastAsia="仿宋" w:cs="仿宋"/>
          <w:color w:val="auto"/>
          <w:spacing w:val="6"/>
          <w:sz w:val="24"/>
          <w:szCs w:val="24"/>
          <w:highlight w:val="none"/>
        </w:rPr>
        <w:t>另行增加费用</w:t>
      </w:r>
      <w:r>
        <w:rPr>
          <w:rFonts w:hint="eastAsia" w:ascii="仿宋" w:hAnsi="仿宋" w:eastAsia="仿宋" w:cs="仿宋"/>
          <w:color w:val="auto"/>
          <w:spacing w:val="6"/>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color w:val="auto"/>
          <w:spacing w:val="6"/>
          <w:sz w:val="24"/>
          <w:szCs w:val="24"/>
          <w:highlight w:val="none"/>
          <w:lang w:eastAsia="zh-CN"/>
        </w:rPr>
        <w:t>（二）</w:t>
      </w:r>
      <w:r>
        <w:rPr>
          <w:rFonts w:hint="eastAsia" w:ascii="仿宋" w:hAnsi="仿宋" w:eastAsia="仿宋" w:cs="仿宋"/>
          <w:bCs w:val="0"/>
          <w:color w:val="auto"/>
          <w:spacing w:val="6"/>
          <w:sz w:val="24"/>
          <w:szCs w:val="24"/>
          <w:highlight w:val="none"/>
        </w:rPr>
        <w:t>本合同执行过程中发生争议的，甲乙双方应友好协商解决，协商不成的，任何一方均可向中山市有管辖权的人民法院提起诉讼。</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（三）</w:t>
      </w:r>
      <w:r>
        <w:rPr>
          <w:rFonts w:hint="eastAsia" w:ascii="仿宋" w:hAnsi="仿宋" w:eastAsia="仿宋" w:cs="仿宋"/>
          <w:color w:val="auto"/>
          <w:spacing w:val="6"/>
          <w:sz w:val="24"/>
          <w:szCs w:val="24"/>
          <w:highlight w:val="none"/>
        </w:rPr>
        <w:t>本合同自双方代表签</w:t>
      </w:r>
      <w:r>
        <w:rPr>
          <w:rFonts w:hint="eastAsia" w:ascii="仿宋" w:hAnsi="仿宋" w:eastAsia="仿宋" w:cs="仿宋"/>
          <w:color w:val="auto"/>
          <w:spacing w:val="6"/>
          <w:sz w:val="24"/>
          <w:szCs w:val="24"/>
          <w:highlight w:val="none"/>
          <w:lang w:val="en-US" w:eastAsia="zh-CN"/>
        </w:rPr>
        <w:t>名</w:t>
      </w:r>
      <w:r>
        <w:rPr>
          <w:rFonts w:hint="eastAsia" w:ascii="仿宋" w:hAnsi="仿宋" w:eastAsia="仿宋" w:cs="仿宋"/>
          <w:color w:val="auto"/>
          <w:spacing w:val="6"/>
          <w:sz w:val="24"/>
          <w:szCs w:val="24"/>
          <w:highlight w:val="none"/>
        </w:rPr>
        <w:t>盖章之日起生效，有效期至</w:t>
      </w:r>
      <w:r>
        <w:rPr>
          <w:rFonts w:hint="eastAsia" w:ascii="仿宋" w:hAnsi="仿宋" w:eastAsia="仿宋" w:cs="仿宋"/>
          <w:color w:val="auto"/>
          <w:spacing w:val="6"/>
          <w:sz w:val="24"/>
          <w:szCs w:val="24"/>
          <w:highlight w:val="none"/>
          <w:u w:val="single"/>
          <w:lang w:val="en-US" w:eastAsia="zh-CN"/>
        </w:rPr>
        <w:t>本项目完成</w:t>
      </w:r>
      <w:r>
        <w:rPr>
          <w:rFonts w:hint="eastAsia" w:ascii="仿宋" w:hAnsi="仿宋" w:eastAsia="仿宋" w:cs="仿宋"/>
          <w:color w:val="auto"/>
          <w:spacing w:val="6"/>
          <w:sz w:val="24"/>
          <w:szCs w:val="24"/>
          <w:highlight w:val="none"/>
        </w:rPr>
        <w:t>止。</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本合同一式</w:t>
      </w: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份，双方各执</w:t>
      </w:r>
      <w:r>
        <w:rPr>
          <w:rFonts w:hint="eastAsia" w:ascii="仿宋" w:hAnsi="仿宋" w:eastAsia="仿宋" w:cs="仿宋"/>
          <w:color w:val="auto"/>
          <w:spacing w:val="6"/>
          <w:sz w:val="24"/>
          <w:szCs w:val="24"/>
          <w:highlight w:val="none"/>
          <w:lang w:eastAsia="zh-CN"/>
        </w:rPr>
        <w:t>两</w:t>
      </w:r>
      <w:r>
        <w:rPr>
          <w:rFonts w:hint="eastAsia" w:ascii="仿宋" w:hAnsi="仿宋" w:eastAsia="仿宋" w:cs="仿宋"/>
          <w:color w:val="auto"/>
          <w:spacing w:val="6"/>
          <w:sz w:val="24"/>
          <w:szCs w:val="24"/>
          <w:highlight w:val="none"/>
        </w:rPr>
        <w:t>份，均</w:t>
      </w:r>
      <w:r>
        <w:rPr>
          <w:rFonts w:hint="eastAsia" w:ascii="仿宋" w:hAnsi="仿宋" w:eastAsia="仿宋" w:cs="仿宋"/>
          <w:color w:val="auto"/>
          <w:spacing w:val="6"/>
          <w:sz w:val="24"/>
          <w:szCs w:val="24"/>
          <w:highlight w:val="none"/>
          <w:lang w:eastAsia="zh-CN"/>
        </w:rPr>
        <w:t>具有</w:t>
      </w:r>
      <w:r>
        <w:rPr>
          <w:rFonts w:hint="eastAsia" w:ascii="仿宋" w:hAnsi="仿宋" w:eastAsia="仿宋" w:cs="仿宋"/>
          <w:color w:val="auto"/>
          <w:spacing w:val="6"/>
          <w:sz w:val="24"/>
          <w:szCs w:val="24"/>
          <w:highlight w:val="none"/>
        </w:rPr>
        <w:t>同等法律效力。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pacing w:val="-8"/>
          <w:sz w:val="24"/>
          <w:szCs w:val="24"/>
          <w:highlight w:val="none"/>
        </w:rPr>
      </w:pPr>
    </w:p>
    <w:p>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（以下无正文）</w:t>
      </w:r>
    </w:p>
    <w:p>
      <w:pPr>
        <w:spacing w:line="0" w:lineRule="atLeast"/>
        <w:rPr>
          <w:rFonts w:hint="eastAsia" w:ascii="仿宋" w:hAnsi="仿宋" w:eastAsia="仿宋" w:cs="仿宋"/>
          <w:b/>
          <w:spacing w:val="-8"/>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val="en-US" w:eastAsia="zh-CN"/>
        </w:rPr>
        <w:t>签</w:t>
      </w:r>
      <w:r>
        <w:rPr>
          <w:rFonts w:hint="eastAsia" w:ascii="仿宋" w:hAnsi="仿宋" w:eastAsia="仿宋" w:cs="仿宋"/>
          <w:b w:val="0"/>
          <w:color w:val="auto"/>
          <w:spacing w:val="6"/>
          <w:sz w:val="24"/>
          <w:szCs w:val="24"/>
          <w:highlight w:val="none"/>
        </w:rPr>
        <w:t>章）：</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val="en-US" w:eastAsia="zh-CN"/>
        </w:rPr>
        <w:t>签</w:t>
      </w:r>
      <w:r>
        <w:rPr>
          <w:rFonts w:hint="eastAsia" w:ascii="仿宋" w:hAnsi="仿宋" w:eastAsia="仿宋" w:cs="仿宋"/>
          <w:b w:val="0"/>
          <w:color w:val="auto"/>
          <w:spacing w:val="6"/>
          <w:sz w:val="24"/>
          <w:szCs w:val="24"/>
          <w:highlight w:val="none"/>
        </w:rPr>
        <w:t xml:space="preserve">章）：                  </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 xml:space="preserve">代表：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lang w:val="en-US" w:eastAsia="zh-CN"/>
        </w:rPr>
        <w:t xml:space="preserve">签订日期：  </w:t>
      </w:r>
      <w:r>
        <w:rPr>
          <w:rFonts w:hint="eastAsia" w:ascii="仿宋" w:hAnsi="仿宋" w:eastAsia="仿宋" w:cs="仿宋"/>
          <w:b w:val="0"/>
          <w:color w:val="auto"/>
          <w:spacing w:val="6"/>
          <w:sz w:val="24"/>
          <w:szCs w:val="24"/>
          <w:highlight w:val="none"/>
        </w:rPr>
        <w:t xml:space="preserve">年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 xml:space="preserve">月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日</w:t>
      </w:r>
      <w:r>
        <w:rPr>
          <w:rFonts w:hint="eastAsia" w:ascii="仿宋" w:hAnsi="仿宋" w:eastAsia="仿宋" w:cs="仿宋"/>
          <w:b w:val="0"/>
          <w:color w:val="auto"/>
          <w:spacing w:val="6"/>
          <w:sz w:val="24"/>
          <w:szCs w:val="24"/>
          <w:highlight w:val="none"/>
          <w:lang w:val="en-US" w:eastAsia="zh-CN"/>
        </w:rPr>
        <w:t xml:space="preserve">           签订日期：  </w:t>
      </w:r>
      <w:r>
        <w:rPr>
          <w:rFonts w:hint="eastAsia" w:ascii="仿宋" w:hAnsi="仿宋" w:eastAsia="仿宋" w:cs="仿宋"/>
          <w:b w:val="0"/>
          <w:color w:val="auto"/>
          <w:spacing w:val="6"/>
          <w:sz w:val="24"/>
          <w:szCs w:val="24"/>
          <w:highlight w:val="none"/>
        </w:rPr>
        <w:t xml:space="preserve">年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 xml:space="preserve">月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日</w:t>
      </w:r>
    </w:p>
    <w:p>
      <w:pPr>
        <w:pStyle w:val="2"/>
        <w:rPr>
          <w:highlight w:val="none"/>
        </w:rPr>
      </w:pPr>
    </w:p>
    <w:sectPr>
      <w:headerReference r:id="rId13" w:type="default"/>
      <w:footerReference r:id="rId14"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C78F57B"/>
    <w:multiLevelType w:val="singleLevel"/>
    <w:tmpl w:val="4C78F57B"/>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zYjEzMDUzMzQ3OTc1MzBkMzIyYzgzMzFhMTA5YjI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173598"/>
    <w:rsid w:val="0143496A"/>
    <w:rsid w:val="014A287B"/>
    <w:rsid w:val="014B1B17"/>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C51305"/>
    <w:rsid w:val="0BDC6240"/>
    <w:rsid w:val="0C470E4E"/>
    <w:rsid w:val="0C4C141B"/>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73914CE"/>
    <w:rsid w:val="173E2BCB"/>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7D6B34"/>
    <w:rsid w:val="18937086"/>
    <w:rsid w:val="18A04D95"/>
    <w:rsid w:val="18EB7861"/>
    <w:rsid w:val="18FB18AE"/>
    <w:rsid w:val="18FF4051"/>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4408F1"/>
    <w:rsid w:val="1B807457"/>
    <w:rsid w:val="1B832885"/>
    <w:rsid w:val="1B952E18"/>
    <w:rsid w:val="1BB10A56"/>
    <w:rsid w:val="1C1B17CC"/>
    <w:rsid w:val="1C35198D"/>
    <w:rsid w:val="1C3A1777"/>
    <w:rsid w:val="1C3B0523"/>
    <w:rsid w:val="1C3B7E7E"/>
    <w:rsid w:val="1C4933F0"/>
    <w:rsid w:val="1C626417"/>
    <w:rsid w:val="1C9551F4"/>
    <w:rsid w:val="1C991EF3"/>
    <w:rsid w:val="1CA270A1"/>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1FFE295E"/>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4353E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084807"/>
    <w:rsid w:val="2E0E0B66"/>
    <w:rsid w:val="2E2703EA"/>
    <w:rsid w:val="2E5642BC"/>
    <w:rsid w:val="2E632F3C"/>
    <w:rsid w:val="2ECB42D1"/>
    <w:rsid w:val="2ECD0CBF"/>
    <w:rsid w:val="2EEE2F8B"/>
    <w:rsid w:val="2EFE112F"/>
    <w:rsid w:val="2F143137"/>
    <w:rsid w:val="2F2E5210"/>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92755"/>
    <w:rsid w:val="33BA52ED"/>
    <w:rsid w:val="33F37670"/>
    <w:rsid w:val="33F61A2E"/>
    <w:rsid w:val="343245B1"/>
    <w:rsid w:val="34496D9C"/>
    <w:rsid w:val="347A0144"/>
    <w:rsid w:val="34855048"/>
    <w:rsid w:val="348A461C"/>
    <w:rsid w:val="349D7093"/>
    <w:rsid w:val="34B1413D"/>
    <w:rsid w:val="34B46FD2"/>
    <w:rsid w:val="34EB4E09"/>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2E5212"/>
    <w:rsid w:val="37724D1E"/>
    <w:rsid w:val="379850D3"/>
    <w:rsid w:val="379B2ED6"/>
    <w:rsid w:val="379D4EBE"/>
    <w:rsid w:val="37A30CFD"/>
    <w:rsid w:val="37A72FFE"/>
    <w:rsid w:val="37B26DB8"/>
    <w:rsid w:val="37FE1E64"/>
    <w:rsid w:val="38203191"/>
    <w:rsid w:val="383E5D60"/>
    <w:rsid w:val="384D1B5D"/>
    <w:rsid w:val="385A0EAA"/>
    <w:rsid w:val="385D408A"/>
    <w:rsid w:val="386A6F5A"/>
    <w:rsid w:val="386B4E07"/>
    <w:rsid w:val="3881359D"/>
    <w:rsid w:val="3899362A"/>
    <w:rsid w:val="38EF2E3F"/>
    <w:rsid w:val="38F35E63"/>
    <w:rsid w:val="38F75971"/>
    <w:rsid w:val="39183F7E"/>
    <w:rsid w:val="391C0FB5"/>
    <w:rsid w:val="394510ED"/>
    <w:rsid w:val="394D72A3"/>
    <w:rsid w:val="39521DE6"/>
    <w:rsid w:val="39544012"/>
    <w:rsid w:val="3960396A"/>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EC4F82"/>
    <w:rsid w:val="3EF07D44"/>
    <w:rsid w:val="3EF43037"/>
    <w:rsid w:val="3F073ADC"/>
    <w:rsid w:val="3F0B4C4E"/>
    <w:rsid w:val="3F5E51FF"/>
    <w:rsid w:val="3F6A5C45"/>
    <w:rsid w:val="3F8871E1"/>
    <w:rsid w:val="3FD61D7A"/>
    <w:rsid w:val="3FDF24E4"/>
    <w:rsid w:val="3FF104A5"/>
    <w:rsid w:val="4004706C"/>
    <w:rsid w:val="400E2F20"/>
    <w:rsid w:val="403F697C"/>
    <w:rsid w:val="406A3F6F"/>
    <w:rsid w:val="406D4752"/>
    <w:rsid w:val="40783708"/>
    <w:rsid w:val="40813CE0"/>
    <w:rsid w:val="40A01C85"/>
    <w:rsid w:val="40AA22DB"/>
    <w:rsid w:val="40BB7C11"/>
    <w:rsid w:val="41003E75"/>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7D4E2C"/>
    <w:rsid w:val="45A315F0"/>
    <w:rsid w:val="45B953B2"/>
    <w:rsid w:val="45FA5263"/>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A7A39"/>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76605"/>
    <w:rsid w:val="4F0F0F08"/>
    <w:rsid w:val="4F711134"/>
    <w:rsid w:val="4FB410AD"/>
    <w:rsid w:val="4FE44BBA"/>
    <w:rsid w:val="4FFA6AF6"/>
    <w:rsid w:val="4FFF539C"/>
    <w:rsid w:val="5006529A"/>
    <w:rsid w:val="500C7AB9"/>
    <w:rsid w:val="50110D78"/>
    <w:rsid w:val="50231AA3"/>
    <w:rsid w:val="504A2ADD"/>
    <w:rsid w:val="5061724C"/>
    <w:rsid w:val="50AA36E0"/>
    <w:rsid w:val="50E63666"/>
    <w:rsid w:val="50EC3059"/>
    <w:rsid w:val="510D5932"/>
    <w:rsid w:val="514F27FC"/>
    <w:rsid w:val="519611B1"/>
    <w:rsid w:val="52161328"/>
    <w:rsid w:val="521D40DD"/>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E333FC"/>
    <w:rsid w:val="53F5446E"/>
    <w:rsid w:val="541115C4"/>
    <w:rsid w:val="54335E8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999312B"/>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166CA"/>
    <w:rsid w:val="5E567963"/>
    <w:rsid w:val="5E596C5B"/>
    <w:rsid w:val="5E71716F"/>
    <w:rsid w:val="5EAD3456"/>
    <w:rsid w:val="5EE13545"/>
    <w:rsid w:val="5EE668B3"/>
    <w:rsid w:val="5EEB6F20"/>
    <w:rsid w:val="5F132513"/>
    <w:rsid w:val="5F2010E3"/>
    <w:rsid w:val="5F2340BB"/>
    <w:rsid w:val="5F296758"/>
    <w:rsid w:val="5F405680"/>
    <w:rsid w:val="5F4E0225"/>
    <w:rsid w:val="5F581F25"/>
    <w:rsid w:val="5F79562D"/>
    <w:rsid w:val="5F817D60"/>
    <w:rsid w:val="5FA21038"/>
    <w:rsid w:val="5FA40CA6"/>
    <w:rsid w:val="5FBF4A2D"/>
    <w:rsid w:val="5FCA4D1B"/>
    <w:rsid w:val="5FDC09A4"/>
    <w:rsid w:val="5FF909F7"/>
    <w:rsid w:val="600A528D"/>
    <w:rsid w:val="602A462E"/>
    <w:rsid w:val="608A03D0"/>
    <w:rsid w:val="60A242F4"/>
    <w:rsid w:val="60AC1E47"/>
    <w:rsid w:val="60B04315"/>
    <w:rsid w:val="60B7065B"/>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7ED1F18"/>
    <w:rsid w:val="684C2343"/>
    <w:rsid w:val="685013FC"/>
    <w:rsid w:val="6880754B"/>
    <w:rsid w:val="688478B7"/>
    <w:rsid w:val="68A82244"/>
    <w:rsid w:val="68BE1513"/>
    <w:rsid w:val="6945758D"/>
    <w:rsid w:val="695B08E4"/>
    <w:rsid w:val="697A7BC6"/>
    <w:rsid w:val="69A17E74"/>
    <w:rsid w:val="69A736F2"/>
    <w:rsid w:val="69F61ED3"/>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E7685B"/>
    <w:rsid w:val="6FF72C1C"/>
    <w:rsid w:val="704B27CA"/>
    <w:rsid w:val="70517453"/>
    <w:rsid w:val="70906757"/>
    <w:rsid w:val="70C93F99"/>
    <w:rsid w:val="70DC17CE"/>
    <w:rsid w:val="70F23D09"/>
    <w:rsid w:val="710E48BB"/>
    <w:rsid w:val="7122764C"/>
    <w:rsid w:val="71266898"/>
    <w:rsid w:val="712C426F"/>
    <w:rsid w:val="713D268B"/>
    <w:rsid w:val="71425FB3"/>
    <w:rsid w:val="714C327A"/>
    <w:rsid w:val="714E74C1"/>
    <w:rsid w:val="714F2E46"/>
    <w:rsid w:val="7151701B"/>
    <w:rsid w:val="7154132F"/>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4361A"/>
    <w:rsid w:val="74D71A77"/>
    <w:rsid w:val="74E41E3F"/>
    <w:rsid w:val="74FA527C"/>
    <w:rsid w:val="75006A13"/>
    <w:rsid w:val="75143C10"/>
    <w:rsid w:val="751E3E47"/>
    <w:rsid w:val="753C2ACE"/>
    <w:rsid w:val="753E6CEC"/>
    <w:rsid w:val="7553542F"/>
    <w:rsid w:val="75560F56"/>
    <w:rsid w:val="755D28D9"/>
    <w:rsid w:val="756C2266"/>
    <w:rsid w:val="7577343F"/>
    <w:rsid w:val="75A82F09"/>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9747E"/>
    <w:rsid w:val="7D7E4262"/>
    <w:rsid w:val="7D8B6FDC"/>
    <w:rsid w:val="7DAA59ED"/>
    <w:rsid w:val="7DD520D4"/>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080794"/>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autoRedefine/>
    <w:qFormat/>
    <w:uiPriority w:val="0"/>
    <w:pPr>
      <w:spacing w:before="340" w:after="330" w:line="578" w:lineRule="auto"/>
      <w:outlineLvl w:val="0"/>
    </w:pPr>
    <w:rPr>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7"/>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autoRedefine/>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style>
  <w:style w:type="paragraph" w:styleId="7">
    <w:name w:val="Normal Indent"/>
    <w:basedOn w:val="1"/>
    <w:autoRedefine/>
    <w:qFormat/>
    <w:uiPriority w:val="0"/>
    <w:pPr>
      <w:ind w:firstLine="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link w:val="40"/>
    <w:autoRedefine/>
    <w:qFormat/>
    <w:uiPriority w:val="0"/>
    <w:rPr>
      <w:rFonts w:ascii="宋体"/>
      <w:sz w:val="24"/>
    </w:rPr>
  </w:style>
  <w:style w:type="paragraph" w:styleId="11">
    <w:name w:val="annotation text"/>
    <w:basedOn w:val="1"/>
    <w:link w:val="41"/>
    <w:autoRedefine/>
    <w:qFormat/>
    <w:uiPriority w:val="99"/>
    <w:pPr>
      <w:widowControl/>
      <w:jc w:val="left"/>
    </w:pPr>
    <w:rPr>
      <w:kern w:val="0"/>
      <w:szCs w:val="20"/>
    </w:r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spacing w:line="360" w:lineRule="auto"/>
      <w:ind w:left="608" w:hanging="608"/>
    </w:pPr>
    <w:rPr>
      <w:rFonts w:ascii="宋体"/>
      <w:sz w:val="28"/>
    </w:rPr>
  </w:style>
  <w:style w:type="paragraph" w:styleId="15">
    <w:name w:val="toc 5"/>
    <w:basedOn w:val="1"/>
    <w:next w:val="1"/>
    <w:autoRedefine/>
    <w:qFormat/>
    <w:uiPriority w:val="0"/>
    <w:pPr>
      <w:ind w:left="1680"/>
    </w:pPr>
  </w:style>
  <w:style w:type="paragraph" w:styleId="16">
    <w:name w:val="toc 3"/>
    <w:basedOn w:val="1"/>
    <w:next w:val="1"/>
    <w:autoRedefine/>
    <w:qFormat/>
    <w:uiPriority w:val="39"/>
    <w:pPr>
      <w:ind w:left="840" w:leftChars="400"/>
    </w:pPr>
  </w:style>
  <w:style w:type="paragraph" w:styleId="17">
    <w:name w:val="Plain Text"/>
    <w:basedOn w:val="1"/>
    <w:next w:val="1"/>
    <w:autoRedefine/>
    <w:qFormat/>
    <w:uiPriority w:val="0"/>
    <w:rPr>
      <w:rFonts w:ascii="宋体" w:hAnsi="Courier New" w:cs="Courier New"/>
      <w:szCs w:val="21"/>
    </w:rPr>
  </w:style>
  <w:style w:type="paragraph" w:styleId="18">
    <w:name w:val="Date"/>
    <w:basedOn w:val="1"/>
    <w:next w:val="1"/>
    <w:autoRedefine/>
    <w:qFormat/>
    <w:uiPriority w:val="0"/>
    <w:pPr>
      <w:autoSpaceDE w:val="0"/>
      <w:autoSpaceDN w:val="0"/>
      <w:adjustRightInd w:val="0"/>
      <w:textAlignment w:val="baseline"/>
    </w:pPr>
    <w:rPr>
      <w:rFonts w:ascii="宋体"/>
      <w:sz w:val="28"/>
    </w:rPr>
  </w:style>
  <w:style w:type="paragraph" w:styleId="19">
    <w:name w:val="Balloon Text"/>
    <w:basedOn w:val="1"/>
    <w:link w:val="42"/>
    <w:autoRedefine/>
    <w:qFormat/>
    <w:uiPriority w:val="0"/>
    <w:rPr>
      <w:sz w:val="18"/>
      <w:szCs w:val="18"/>
    </w:rPr>
  </w:style>
  <w:style w:type="paragraph" w:styleId="20">
    <w:name w:val="footer"/>
    <w:basedOn w:val="1"/>
    <w:autoRedefine/>
    <w:qFormat/>
    <w:uiPriority w:val="0"/>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autoRedefine/>
    <w:semiHidden/>
    <w:qFormat/>
    <w:uiPriority w:val="0"/>
    <w:rPr>
      <w:szCs w:val="20"/>
    </w:rPr>
  </w:style>
  <w:style w:type="paragraph" w:styleId="24">
    <w:name w:val="index 1"/>
    <w:basedOn w:val="1"/>
    <w:next w:val="1"/>
    <w:autoRedefine/>
    <w:semiHidden/>
    <w:qFormat/>
    <w:uiPriority w:val="0"/>
  </w:style>
  <w:style w:type="paragraph" w:styleId="25">
    <w:name w:val="toc 6"/>
    <w:basedOn w:val="1"/>
    <w:next w:val="1"/>
    <w:autoRedefine/>
    <w:qFormat/>
    <w:uiPriority w:val="99"/>
    <w:pPr>
      <w:ind w:left="2100" w:leftChars="1000"/>
    </w:pPr>
    <w:rPr>
      <w:rFonts w:ascii="Calibri" w:hAnsi="Calibri"/>
      <w:szCs w:val="22"/>
    </w:rPr>
  </w:style>
  <w:style w:type="paragraph" w:styleId="26">
    <w:name w:val="Body Text Indent 3"/>
    <w:basedOn w:val="1"/>
    <w:autoRedefine/>
    <w:qFormat/>
    <w:uiPriority w:val="0"/>
    <w:pPr>
      <w:spacing w:line="360" w:lineRule="auto"/>
      <w:ind w:firstLine="420" w:firstLineChars="200"/>
    </w:pPr>
    <w:rPr>
      <w:szCs w:val="20"/>
    </w:rPr>
  </w:style>
  <w:style w:type="paragraph" w:styleId="27">
    <w:name w:val="toc 2"/>
    <w:basedOn w:val="1"/>
    <w:next w:val="1"/>
    <w:autoRedefine/>
    <w:qFormat/>
    <w:uiPriority w:val="39"/>
    <w:pPr>
      <w:ind w:left="420" w:leftChars="200"/>
    </w:p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0"/>
    <w:pPr>
      <w:spacing w:before="100" w:beforeAutospacing="1" w:after="100" w:afterAutospacing="1"/>
      <w:jc w:val="left"/>
    </w:pPr>
    <w:rPr>
      <w:kern w:val="0"/>
      <w:sz w:val="24"/>
    </w:rPr>
  </w:style>
  <w:style w:type="paragraph" w:styleId="30">
    <w:name w:val="annotation subject"/>
    <w:basedOn w:val="11"/>
    <w:next w:val="11"/>
    <w:link w:val="43"/>
    <w:autoRedefine/>
    <w:qFormat/>
    <w:uiPriority w:val="0"/>
    <w:pPr>
      <w:widowControl w:val="0"/>
    </w:pPr>
    <w:rPr>
      <w:b/>
      <w:bCs/>
      <w:kern w:val="2"/>
      <w:szCs w:val="24"/>
    </w:rPr>
  </w:style>
  <w:style w:type="paragraph" w:styleId="31">
    <w:name w:val="Body Text First Indent"/>
    <w:basedOn w:val="1"/>
    <w:next w:val="1"/>
    <w:autoRedefine/>
    <w:qFormat/>
    <w:uiPriority w:val="0"/>
    <w:pPr>
      <w:spacing w:after="120"/>
      <w:ind w:firstLine="420" w:firstLineChars="100"/>
    </w:pPr>
  </w:style>
  <w:style w:type="paragraph" w:styleId="32">
    <w:name w:val="Body Text First Indent 2"/>
    <w:basedOn w:val="14"/>
    <w:autoRedefine/>
    <w:qFormat/>
    <w:uiPriority w:val="0"/>
    <w:pPr>
      <w:snapToGrid w:val="0"/>
      <w:spacing w:after="120"/>
      <w:ind w:left="420" w:firstLine="420" w:firstLineChars="200"/>
    </w:pPr>
    <w:rPr>
      <w:rFonts w:ascii="Tahoma" w:hAnsi="Tahoma"/>
    </w:rPr>
  </w:style>
  <w:style w:type="table" w:styleId="34">
    <w:name w:val="Table Grid"/>
    <w:basedOn w:val="3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autoRedefine/>
    <w:qFormat/>
    <w:uiPriority w:val="0"/>
    <w:rPr>
      <w:b/>
    </w:rPr>
  </w:style>
  <w:style w:type="character" w:styleId="37">
    <w:name w:val="page number"/>
    <w:basedOn w:val="35"/>
    <w:autoRedefine/>
    <w:qFormat/>
    <w:uiPriority w:val="0"/>
  </w:style>
  <w:style w:type="character" w:styleId="38">
    <w:name w:val="Hyperlink"/>
    <w:autoRedefine/>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文档结构图 Char"/>
    <w:link w:val="10"/>
    <w:autoRedefine/>
    <w:qFormat/>
    <w:uiPriority w:val="0"/>
    <w:rPr>
      <w:rFonts w:ascii="宋体"/>
      <w:kern w:val="2"/>
      <w:sz w:val="24"/>
      <w:szCs w:val="24"/>
    </w:rPr>
  </w:style>
  <w:style w:type="character" w:customStyle="1" w:styleId="41">
    <w:name w:val="批注文字 Char"/>
    <w:link w:val="11"/>
    <w:autoRedefine/>
    <w:qFormat/>
    <w:uiPriority w:val="99"/>
    <w:rPr>
      <w:sz w:val="21"/>
    </w:rPr>
  </w:style>
  <w:style w:type="character" w:customStyle="1" w:styleId="42">
    <w:name w:val="批注框文本 Char"/>
    <w:link w:val="19"/>
    <w:autoRedefine/>
    <w:qFormat/>
    <w:uiPriority w:val="0"/>
    <w:rPr>
      <w:kern w:val="2"/>
      <w:sz w:val="18"/>
      <w:szCs w:val="18"/>
    </w:rPr>
  </w:style>
  <w:style w:type="character" w:customStyle="1" w:styleId="43">
    <w:name w:val="批注主题 Char"/>
    <w:link w:val="30"/>
    <w:autoRedefine/>
    <w:qFormat/>
    <w:uiPriority w:val="0"/>
    <w:rPr>
      <w:b/>
      <w:bCs/>
      <w:kern w:val="2"/>
      <w:sz w:val="21"/>
      <w:szCs w:val="24"/>
    </w:rPr>
  </w:style>
  <w:style w:type="paragraph" w:customStyle="1" w:styleId="44">
    <w:name w:val="样式 文字 + 首行缩进:  2 字符3"/>
    <w:basedOn w:val="1"/>
    <w:autoRedefine/>
    <w:qFormat/>
    <w:uiPriority w:val="0"/>
    <w:pPr>
      <w:spacing w:line="360" w:lineRule="auto"/>
      <w:jc w:val="left"/>
    </w:pPr>
    <w:rPr>
      <w:rFonts w:ascii="Calibri" w:hAnsi="Calibri"/>
      <w:sz w:val="28"/>
      <w:szCs w:val="28"/>
    </w:rPr>
  </w:style>
  <w:style w:type="character" w:customStyle="1" w:styleId="45">
    <w:name w:val="font01"/>
    <w:basedOn w:val="35"/>
    <w:autoRedefine/>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autoRedefine/>
    <w:qFormat/>
    <w:uiPriority w:val="0"/>
  </w:style>
  <w:style w:type="character" w:customStyle="1" w:styleId="47">
    <w:name w:val="font11"/>
    <w:basedOn w:val="35"/>
    <w:autoRedefine/>
    <w:qFormat/>
    <w:uiPriority w:val="0"/>
    <w:rPr>
      <w:rFonts w:hint="eastAsia" w:ascii="宋体" w:hAnsi="宋体" w:eastAsia="宋体" w:cs="宋体"/>
      <w:b/>
      <w:color w:val="000000"/>
      <w:sz w:val="24"/>
      <w:szCs w:val="24"/>
      <w:u w:val="none"/>
    </w:rPr>
  </w:style>
  <w:style w:type="paragraph" w:customStyle="1" w:styleId="48">
    <w:name w:val="列出段落1"/>
    <w:basedOn w:val="1"/>
    <w:autoRedefine/>
    <w:qFormat/>
    <w:uiPriority w:val="34"/>
    <w:pPr>
      <w:ind w:firstLine="420" w:firstLineChars="200"/>
    </w:pPr>
  </w:style>
  <w:style w:type="paragraph" w:customStyle="1" w:styleId="49">
    <w:name w:val="Figure"/>
    <w:basedOn w:val="1"/>
    <w:next w:val="1"/>
    <w:autoRedefine/>
    <w:qFormat/>
    <w:uiPriority w:val="0"/>
    <w:pPr>
      <w:keepNext/>
      <w:keepLines/>
      <w:widowControl/>
      <w:jc w:val="center"/>
    </w:pPr>
    <w:rPr>
      <w:rFonts w:ascii="Calibri" w:hAnsi="Calibri" w:cs="Calibri"/>
      <w:kern w:val="0"/>
      <w:sz w:val="24"/>
      <w:lang w:eastAsia="en-US" w:bidi="en-US"/>
    </w:r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autoRedefine/>
    <w:qFormat/>
    <w:uiPriority w:val="0"/>
    <w:rPr>
      <w:rFonts w:ascii="Arial" w:hAnsi="Arial" w:cs="Arial"/>
      <w:bCs/>
      <w:sz w:val="24"/>
    </w:rPr>
  </w:style>
  <w:style w:type="paragraph" w:customStyle="1" w:styleId="52">
    <w:name w:val="题注5"/>
    <w:basedOn w:val="1"/>
    <w:next w:val="9"/>
    <w:autoRedefine/>
    <w:qFormat/>
    <w:uiPriority w:val="0"/>
    <w:pPr>
      <w:jc w:val="center"/>
    </w:pPr>
    <w:rPr>
      <w:b/>
      <w:color w:val="000000"/>
      <w:sz w:val="24"/>
      <w:szCs w:val="21"/>
    </w:rPr>
  </w:style>
  <w:style w:type="paragraph" w:customStyle="1" w:styleId="53">
    <w:name w:val="Table Paragraph"/>
    <w:basedOn w:val="1"/>
    <w:autoRedefine/>
    <w:qFormat/>
    <w:uiPriority w:val="1"/>
  </w:style>
  <w:style w:type="paragraph" w:styleId="54">
    <w:name w:val="List Paragraph"/>
    <w:basedOn w:val="1"/>
    <w:autoRedefine/>
    <w:qFormat/>
    <w:uiPriority w:val="34"/>
    <w:pPr>
      <w:ind w:firstLine="420" w:firstLineChars="200"/>
    </w:pPr>
  </w:style>
  <w:style w:type="paragraph" w:customStyle="1" w:styleId="55">
    <w:name w:val="索引 11"/>
    <w:basedOn w:val="1"/>
    <w:next w:val="1"/>
    <w:autoRedefine/>
    <w:qFormat/>
    <w:uiPriority w:val="0"/>
    <w:pPr>
      <w:jc w:val="center"/>
    </w:pPr>
  </w:style>
  <w:style w:type="paragraph" w:customStyle="1" w:styleId="56">
    <w:name w:val="彩色列表1"/>
    <w:basedOn w:val="1"/>
    <w:autoRedefine/>
    <w:qFormat/>
    <w:uiPriority w:val="34"/>
    <w:pPr>
      <w:ind w:firstLine="420" w:firstLineChars="200"/>
    </w:pPr>
  </w:style>
  <w:style w:type="paragraph" w:customStyle="1" w:styleId="57">
    <w:name w:val="样式 首行缩进:  0 字符"/>
    <w:basedOn w:val="1"/>
    <w:autoRedefine/>
    <w:qFormat/>
    <w:uiPriority w:val="0"/>
  </w:style>
  <w:style w:type="paragraph" w:customStyle="1" w:styleId="58">
    <w:name w:val="普通(网站)1"/>
    <w:basedOn w:val="1"/>
    <w:autoRedefine/>
    <w:qFormat/>
    <w:uiPriority w:val="0"/>
    <w:pPr>
      <w:widowControl/>
      <w:spacing w:beforeAutospacing="1" w:afterAutospacing="1"/>
      <w:jc w:val="left"/>
    </w:pPr>
    <w:rPr>
      <w:rFonts w:hAnsi="宋体" w:cs="宋体"/>
      <w:sz w:val="24"/>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3"/>
    <w:autoRedefine/>
    <w:qFormat/>
    <w:uiPriority w:val="0"/>
    <w:pPr>
      <w:spacing w:before="25" w:after="25"/>
      <w:jc w:val="left"/>
    </w:pPr>
    <w:rPr>
      <w:bCs/>
      <w:spacing w:val="10"/>
      <w:kern w:val="0"/>
      <w:sz w:val="24"/>
      <w:szCs w:val="20"/>
    </w:rPr>
  </w:style>
  <w:style w:type="paragraph" w:customStyle="1" w:styleId="61">
    <w:name w:val="p0"/>
    <w:basedOn w:val="1"/>
    <w:autoRedefine/>
    <w:qFormat/>
    <w:uiPriority w:val="0"/>
    <w:rPr>
      <w:szCs w:val="21"/>
    </w:rPr>
  </w:style>
  <w:style w:type="paragraph" w:customStyle="1" w:styleId="62">
    <w:name w:val="Char Char Char Char"/>
    <w:basedOn w:val="1"/>
    <w:autoRedefine/>
    <w:qFormat/>
    <w:uiPriority w:val="0"/>
    <w:rPr>
      <w:rFonts w:ascii="Tahoma" w:hAnsi="Tahoma"/>
      <w:sz w:val="24"/>
    </w:rPr>
  </w:style>
  <w:style w:type="paragraph" w:customStyle="1" w:styleId="63">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autoRedefine/>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9"/>
    <w:autoRedefine/>
    <w:qFormat/>
    <w:uiPriority w:val="0"/>
    <w:pPr>
      <w:ind w:left="-132" w:leftChars="-64" w:right="-105" w:rightChars="-50" w:hanging="2"/>
      <w:jc w:val="center"/>
    </w:pPr>
    <w:rPr>
      <w:b/>
      <w:color w:val="FF0000"/>
      <w:szCs w:val="21"/>
      <w:lang w:val="en-GB"/>
    </w:rPr>
  </w:style>
  <w:style w:type="paragraph" w:customStyle="1" w:styleId="66">
    <w:name w:val="正文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autoRedefine/>
    <w:qFormat/>
    <w:uiPriority w:val="0"/>
    <w:rPr>
      <w:rFonts w:ascii="Times New Roman" w:hAnsi="Times New Roman" w:eastAsia="宋体" w:cs="Times New Roman"/>
      <w:lang w:val="en-US" w:eastAsia="zh-CN" w:bidi="ar-SA"/>
    </w:rPr>
  </w:style>
  <w:style w:type="paragraph" w:customStyle="1" w:styleId="68">
    <w:name w:val="标题1"/>
    <w:basedOn w:val="1"/>
    <w:autoRedefine/>
    <w:qFormat/>
    <w:uiPriority w:val="0"/>
    <w:pPr>
      <w:widowControl/>
      <w:spacing w:line="360" w:lineRule="auto"/>
      <w:jc w:val="center"/>
    </w:pPr>
    <w:rPr>
      <w:rFonts w:ascii="黑体" w:eastAsia="黑体"/>
      <w:b/>
      <w:kern w:val="0"/>
      <w:sz w:val="44"/>
      <w:szCs w:val="20"/>
    </w:rPr>
  </w:style>
  <w:style w:type="paragraph" w:customStyle="1" w:styleId="69">
    <w:name w:val="_Style 6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autoRedefine/>
    <w:qFormat/>
    <w:uiPriority w:val="0"/>
    <w:pPr>
      <w:spacing w:line="360" w:lineRule="auto"/>
      <w:ind w:firstLine="200" w:firstLineChars="200"/>
    </w:pPr>
    <w:rPr>
      <w:rFonts w:ascii="Arial" w:hAnsi="Arial"/>
      <w:b/>
      <w:sz w:val="24"/>
    </w:rPr>
  </w:style>
  <w:style w:type="paragraph" w:customStyle="1" w:styleId="71">
    <w:name w:val="正文（缩进）"/>
    <w:basedOn w:val="1"/>
    <w:autoRedefine/>
    <w:qFormat/>
    <w:uiPriority w:val="0"/>
    <w:pPr>
      <w:spacing w:beforeLines="50" w:afterLines="50"/>
      <w:ind w:firstLine="480" w:firstLineChars="200"/>
    </w:pPr>
  </w:style>
  <w:style w:type="paragraph" w:customStyle="1" w:styleId="72">
    <w:name w:val="预审2"/>
    <w:basedOn w:val="1"/>
    <w:autoRedefine/>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autoRedefine/>
    <w:semiHidden/>
    <w:qFormat/>
    <w:uiPriority w:val="0"/>
  </w:style>
  <w:style w:type="paragraph" w:customStyle="1" w:styleId="74">
    <w:name w:val="列出段落2"/>
    <w:basedOn w:val="1"/>
    <w:autoRedefine/>
    <w:qFormat/>
    <w:uiPriority w:val="34"/>
    <w:pPr>
      <w:jc w:val="left"/>
    </w:pPr>
  </w:style>
  <w:style w:type="paragraph" w:customStyle="1" w:styleId="75">
    <w:name w:val="Revision"/>
    <w:autoRedefine/>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1326</Words>
  <Characters>7562</Characters>
  <Lines>63</Lines>
  <Paragraphs>17</Paragraphs>
  <TotalTime>128</TotalTime>
  <ScaleCrop>false</ScaleCrop>
  <LinksUpToDate>false</LinksUpToDate>
  <CharactersWithSpaces>8871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Gordon工作号</cp:lastModifiedBy>
  <cp:lastPrinted>2022-10-28T06:34:00Z</cp:lastPrinted>
  <dcterms:modified xsi:type="dcterms:W3CDTF">2024-01-25T08:29:58Z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F7CF900DBDF748D88D45385E1FDAB119_13</vt:lpwstr>
  </property>
</Properties>
</file>