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32"/>
          <w:szCs w:val="32"/>
        </w:rPr>
      </w:pPr>
    </w:p>
    <w:p>
      <w:pPr>
        <w:pStyle w:val="17"/>
        <w:adjustRightInd w:val="0"/>
        <w:snapToGrid w:val="0"/>
        <w:spacing w:line="360" w:lineRule="auto"/>
        <w:jc w:val="center"/>
        <w:rPr>
          <w:rFonts w:hAnsi="宋体" w:cs="宋体"/>
          <w:b/>
          <w:sz w:val="44"/>
          <w:szCs w:val="44"/>
          <w:lang w:val="zh-CN"/>
        </w:rPr>
      </w:pPr>
      <w:bookmarkStart w:id="0" w:name="_Toc22419"/>
    </w:p>
    <w:p>
      <w:pPr>
        <w:pStyle w:val="17"/>
        <w:adjustRightInd w:val="0"/>
        <w:snapToGrid w:val="0"/>
        <w:spacing w:line="360" w:lineRule="auto"/>
        <w:jc w:val="center"/>
        <w:rPr>
          <w:rFonts w:hAnsi="宋体" w:cs="宋体"/>
          <w:b/>
          <w:sz w:val="44"/>
          <w:szCs w:val="44"/>
          <w:lang w:val="zh-CN"/>
        </w:rPr>
      </w:pPr>
    </w:p>
    <w:p>
      <w:pPr>
        <w:pStyle w:val="17"/>
        <w:adjustRightInd w:val="0"/>
        <w:snapToGrid w:val="0"/>
        <w:spacing w:line="360" w:lineRule="auto"/>
        <w:jc w:val="center"/>
        <w:rPr>
          <w:rFonts w:hAnsi="宋体" w:cs="宋体"/>
          <w:b/>
          <w:kern w:val="0"/>
          <w:sz w:val="44"/>
          <w:szCs w:val="44"/>
        </w:rPr>
      </w:pPr>
      <w:r>
        <w:rPr>
          <w:rFonts w:hint="eastAsia" w:hAnsi="宋体" w:cs="宋体"/>
          <w:b/>
          <w:kern w:val="0"/>
          <w:sz w:val="52"/>
          <w:szCs w:val="52"/>
        </w:rPr>
        <w:t>中山市公共交通运输集团有限公司</w:t>
      </w:r>
    </w:p>
    <w:p>
      <w:pPr>
        <w:pStyle w:val="17"/>
        <w:adjustRightInd w:val="0"/>
        <w:snapToGrid w:val="0"/>
        <w:spacing w:line="360" w:lineRule="auto"/>
        <w:jc w:val="center"/>
        <w:rPr>
          <w:rFonts w:hAnsi="宋体" w:cs="宋体"/>
          <w:b/>
          <w:kern w:val="0"/>
          <w:sz w:val="44"/>
          <w:szCs w:val="44"/>
        </w:rPr>
      </w:pPr>
      <w:r>
        <w:rPr>
          <w:rFonts w:hint="eastAsia" w:hAnsi="宋体" w:cs="宋体"/>
          <w:b/>
          <w:kern w:val="0"/>
          <w:sz w:val="44"/>
          <w:szCs w:val="44"/>
          <w:lang w:val="en-US" w:eastAsia="zh-CN"/>
        </w:rPr>
        <w:t>响应式公交平台两年期</w:t>
      </w:r>
      <w:r>
        <w:rPr>
          <w:rFonts w:hint="eastAsia" w:hAnsi="宋体" w:cs="宋体"/>
          <w:b/>
          <w:kern w:val="0"/>
          <w:sz w:val="44"/>
          <w:szCs w:val="44"/>
        </w:rPr>
        <w:t>服务采购项目</w:t>
      </w:r>
    </w:p>
    <w:p>
      <w:pPr>
        <w:widowControl/>
        <w:tabs>
          <w:tab w:val="left" w:pos="567"/>
        </w:tabs>
        <w:autoSpaceDE w:val="0"/>
        <w:autoSpaceDN w:val="0"/>
        <w:jc w:val="center"/>
        <w:textAlignment w:val="bottom"/>
        <w:rPr>
          <w:rFonts w:ascii="宋体" w:hAnsi="宋体" w:cs="宋体"/>
          <w:b/>
          <w:sz w:val="44"/>
          <w:szCs w:val="44"/>
        </w:rPr>
      </w:pPr>
      <w:bookmarkStart w:id="1" w:name="_Toc29636"/>
      <w:bookmarkStart w:id="2" w:name="_Toc13975"/>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bookmarkStart w:id="3" w:name="_Toc2576"/>
      <w:bookmarkStart w:id="4" w:name="_Toc14779"/>
    </w:p>
    <w:p>
      <w:pPr>
        <w:pStyle w:val="31"/>
        <w:ind w:firstLine="320"/>
        <w:jc w:val="center"/>
        <w:rPr>
          <w:rFonts w:ascii="宋体" w:hAnsi="宋体" w:cs="宋体"/>
          <w:b/>
          <w:sz w:val="44"/>
          <w:szCs w:val="44"/>
          <w:lang w:val="zh-CN"/>
        </w:r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年1月</w:t>
      </w:r>
    </w:p>
    <w:p>
      <w:pPr>
        <w:spacing w:line="460" w:lineRule="exact"/>
        <w:jc w:val="center"/>
        <w:rPr>
          <w:rFonts w:ascii="宋体" w:hAnsi="宋体" w:cs="宋体"/>
          <w:b/>
          <w:sz w:val="44"/>
          <w:szCs w:val="28"/>
        </w:rPr>
      </w:pPr>
    </w:p>
    <w:p>
      <w:pPr>
        <w:spacing w:line="460" w:lineRule="exact"/>
        <w:jc w:val="center"/>
        <w:rPr>
          <w:rFonts w:ascii="宋体" w:hAnsi="宋体" w:cs="宋体"/>
          <w:b/>
          <w:sz w:val="44"/>
          <w:szCs w:val="28"/>
        </w:rPr>
      </w:pPr>
      <w:r>
        <w:rPr>
          <w:rFonts w:hint="eastAsia" w:ascii="宋体" w:hAnsi="宋体" w:cs="宋体"/>
          <w:b/>
          <w:sz w:val="44"/>
          <w:szCs w:val="28"/>
        </w:rPr>
        <w:br w:type="page"/>
      </w: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参评响应文件格式</w:t>
      </w:r>
    </w:p>
    <w:p>
      <w:pPr>
        <w:pStyle w:val="17"/>
        <w:adjustRightInd w:val="0"/>
        <w:snapToGrid w:val="0"/>
        <w:spacing w:line="560" w:lineRule="exact"/>
        <w:jc w:val="center"/>
        <w:outlineLvl w:val="0"/>
        <w:rPr>
          <w:rFonts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44"/>
        <w:rPr>
          <w:rFonts w:ascii="宋体" w:hAnsi="宋体" w:cs="宋体"/>
          <w:b/>
          <w:bCs/>
          <w:sz w:val="44"/>
          <w:szCs w:val="44"/>
        </w:rPr>
      </w:pPr>
    </w:p>
    <w:p>
      <w:pPr>
        <w:pStyle w:val="44"/>
        <w:rPr>
          <w:rFonts w:ascii="宋体" w:hAnsi="宋体" w:cs="宋体"/>
          <w:b/>
          <w:bCs/>
          <w:sz w:val="44"/>
          <w:szCs w:val="44"/>
        </w:rPr>
      </w:pPr>
    </w:p>
    <w:p/>
    <w:p>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br w:type="page"/>
      </w:r>
      <w:r>
        <w:rPr>
          <w:rFonts w:hint="eastAsia" w:hAnsi="宋体" w:cs="宋体"/>
          <w:b/>
          <w:bCs/>
          <w:sz w:val="44"/>
          <w:szCs w:val="44"/>
        </w:rPr>
        <w:t>第一部分  邀请函</w:t>
      </w:r>
    </w:p>
    <w:p>
      <w:pPr>
        <w:spacing w:line="560" w:lineRule="exact"/>
        <w:jc w:val="left"/>
        <w:rPr>
          <w:rFonts w:ascii="宋体" w:hAnsi="宋体" w:cs="宋体"/>
          <w:spacing w:val="20"/>
          <w:sz w:val="24"/>
        </w:rPr>
      </w:pP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560" w:firstLineChars="200"/>
        <w:jc w:val="left"/>
        <w:rPr>
          <w:rFonts w:ascii="宋体" w:hAnsi="宋体" w:cs="宋体"/>
          <w:sz w:val="24"/>
        </w:rPr>
      </w:pPr>
      <w:r>
        <w:rPr>
          <w:rFonts w:hint="eastAsia" w:ascii="宋体" w:hAnsi="宋体" w:cs="宋体"/>
          <w:spacing w:val="20"/>
          <w:sz w:val="24"/>
        </w:rPr>
        <w:t>现就中山市公共交通运输集团有限公司</w:t>
      </w:r>
      <w:r>
        <w:rPr>
          <w:rFonts w:hint="eastAsia" w:ascii="宋体" w:hAnsi="宋体" w:cs="宋体"/>
          <w:spacing w:val="20"/>
          <w:sz w:val="24"/>
          <w:lang w:eastAsia="zh-CN"/>
        </w:rPr>
        <w:t>（</w:t>
      </w:r>
      <w:r>
        <w:rPr>
          <w:rFonts w:hint="eastAsia" w:ascii="宋体" w:hAnsi="宋体" w:cs="宋体"/>
          <w:spacing w:val="20"/>
          <w:sz w:val="24"/>
          <w:lang w:val="en-US" w:eastAsia="zh-CN"/>
        </w:rPr>
        <w:t>下称采购人</w:t>
      </w:r>
      <w:r>
        <w:rPr>
          <w:rFonts w:hint="eastAsia" w:ascii="宋体" w:hAnsi="宋体" w:cs="宋体"/>
          <w:spacing w:val="20"/>
          <w:sz w:val="24"/>
          <w:lang w:eastAsia="zh-CN"/>
        </w:rPr>
        <w:t>）</w:t>
      </w:r>
      <w:r>
        <w:rPr>
          <w:rFonts w:hint="eastAsia" w:ascii="宋体" w:hAnsi="宋体" w:cs="宋体"/>
          <w:spacing w:val="20"/>
          <w:sz w:val="24"/>
          <w:lang w:val="en-US" w:eastAsia="zh-CN"/>
        </w:rPr>
        <w:t>响应式公交平台两年期服务采购</w:t>
      </w:r>
      <w:r>
        <w:rPr>
          <w:rFonts w:hint="eastAsia" w:ascii="宋体" w:hAnsi="宋体" w:cs="宋体"/>
          <w:spacing w:val="20"/>
          <w:sz w:val="24"/>
        </w:rPr>
        <w:t>项目进行公开采购，欢迎符合资格条件的供应商参与评选，有关事项如下：</w:t>
      </w:r>
    </w:p>
    <w:p>
      <w:pPr>
        <w:spacing w:line="5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中山市公共交通运输集团有限公司</w:t>
      </w:r>
      <w:r>
        <w:rPr>
          <w:rFonts w:hint="eastAsia" w:ascii="宋体" w:hAnsi="宋体" w:cs="宋体"/>
          <w:spacing w:val="20"/>
          <w:sz w:val="24"/>
          <w:lang w:val="en-US" w:eastAsia="zh-CN"/>
        </w:rPr>
        <w:t>响应式公交平台两年期服务采购</w:t>
      </w:r>
      <w:r>
        <w:rPr>
          <w:rFonts w:hint="eastAsia" w:ascii="宋体" w:hAnsi="宋体" w:cs="宋体"/>
          <w:sz w:val="24"/>
        </w:rPr>
        <w:t>项目</w:t>
      </w:r>
    </w:p>
    <w:p>
      <w:pPr>
        <w:spacing w:line="560" w:lineRule="exact"/>
        <w:ind w:firstLine="482" w:firstLineChars="200"/>
        <w:rPr>
          <w:rFonts w:ascii="宋体" w:hAnsi="宋体" w:cs="宋体"/>
          <w:sz w:val="24"/>
        </w:rPr>
      </w:pPr>
      <w:r>
        <w:rPr>
          <w:rFonts w:hint="eastAsia" w:ascii="宋体" w:hAnsi="宋体" w:cs="宋体"/>
          <w:b/>
          <w:bCs/>
          <w:sz w:val="24"/>
        </w:rPr>
        <w:t>二、项目要求：</w:t>
      </w:r>
      <w:r>
        <w:rPr>
          <w:rFonts w:hint="eastAsia" w:ascii="宋体" w:hAnsi="宋体" w:cs="宋体"/>
          <w:sz w:val="24"/>
        </w:rPr>
        <w:t>详细技术参数见第二部分《用户需求书》</w:t>
      </w:r>
    </w:p>
    <w:p>
      <w:pPr>
        <w:spacing w:line="560" w:lineRule="exact"/>
        <w:ind w:firstLine="482" w:firstLineChars="200"/>
        <w:rPr>
          <w:rFonts w:ascii="宋体" w:hAnsi="宋体" w:cs="宋体"/>
          <w:b/>
          <w:bCs/>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ind w:firstLine="482" w:firstLineChars="200"/>
        <w:rPr>
          <w:rFonts w:ascii="宋体" w:hAnsi="宋体" w:cs="宋体"/>
          <w:b/>
          <w:bCs/>
          <w:sz w:val="24"/>
        </w:rPr>
      </w:pPr>
      <w:r>
        <w:rPr>
          <w:rFonts w:hint="eastAsia" w:ascii="宋体" w:hAnsi="宋体" w:cs="宋体"/>
          <w:b/>
          <w:bCs/>
          <w:sz w:val="24"/>
        </w:rPr>
        <w:t>四、预算金额：</w:t>
      </w:r>
      <w:r>
        <w:rPr>
          <w:rFonts w:hint="eastAsia" w:ascii="宋体" w:hAnsi="宋体" w:cs="宋体"/>
          <w:sz w:val="24"/>
        </w:rPr>
        <w:t>不高于</w:t>
      </w:r>
      <w:r>
        <w:rPr>
          <w:rFonts w:ascii="Arial" w:hAnsi="Arial" w:cs="Arial"/>
          <w:sz w:val="24"/>
        </w:rPr>
        <w:t>¥</w:t>
      </w:r>
      <w:r>
        <w:rPr>
          <w:rFonts w:hint="eastAsia" w:ascii="宋体" w:hAnsi="宋体" w:cs="宋体"/>
          <w:sz w:val="24"/>
          <w:lang w:val="en-US" w:eastAsia="zh-CN"/>
        </w:rPr>
        <w:t>204</w:t>
      </w:r>
      <w:r>
        <w:rPr>
          <w:rFonts w:hint="eastAsia" w:ascii="宋体" w:hAnsi="宋体" w:cs="宋体"/>
          <w:sz w:val="24"/>
        </w:rPr>
        <w:t>,</w:t>
      </w:r>
      <w:r>
        <w:rPr>
          <w:rFonts w:hint="eastAsia" w:ascii="宋体" w:hAnsi="宋体" w:cs="宋体"/>
          <w:sz w:val="24"/>
          <w:lang w:val="en-US" w:eastAsia="zh-CN"/>
        </w:rPr>
        <w:t>000</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sz w:val="24"/>
        </w:rPr>
        <w:t>元</w:t>
      </w:r>
    </w:p>
    <w:p>
      <w:pPr>
        <w:spacing w:line="560" w:lineRule="exact"/>
        <w:ind w:firstLine="482" w:firstLineChars="200"/>
        <w:rPr>
          <w:rFonts w:ascii="宋体" w:hAnsi="宋体" w:cs="宋体"/>
          <w:b/>
          <w:bCs/>
          <w:sz w:val="24"/>
        </w:rPr>
      </w:pPr>
      <w:r>
        <w:rPr>
          <w:rFonts w:hint="eastAsia" w:ascii="宋体" w:hAnsi="宋体" w:cs="宋体"/>
          <w:b/>
          <w:bCs/>
          <w:sz w:val="24"/>
        </w:rPr>
        <w:t>五、项目内容：</w:t>
      </w:r>
    </w:p>
    <w:p>
      <w:pPr>
        <w:spacing w:line="560" w:lineRule="exact"/>
        <w:ind w:firstLine="560" w:firstLineChars="200"/>
        <w:jc w:val="left"/>
        <w:rPr>
          <w:rFonts w:hint="eastAsia" w:ascii="宋体" w:hAnsi="宋体" w:eastAsia="宋体" w:cs="宋体"/>
          <w:spacing w:val="20"/>
          <w:sz w:val="24"/>
        </w:rPr>
      </w:pPr>
      <w:r>
        <w:rPr>
          <w:rFonts w:hint="eastAsia" w:ascii="宋体" w:hAnsi="宋体" w:eastAsia="宋体" w:cs="宋体"/>
          <w:spacing w:val="20"/>
          <w:sz w:val="24"/>
          <w:lang w:val="en-US" w:eastAsia="zh-CN"/>
        </w:rPr>
        <w:t>提供响应式公交平台服务，为</w:t>
      </w:r>
      <w:r>
        <w:rPr>
          <w:rFonts w:hint="eastAsia" w:ascii="宋体" w:hAnsi="宋体" w:cs="宋体"/>
          <w:spacing w:val="20"/>
          <w:sz w:val="24"/>
          <w:lang w:val="en-US" w:eastAsia="zh-CN"/>
        </w:rPr>
        <w:t>采购人</w:t>
      </w:r>
      <w:r>
        <w:rPr>
          <w:rFonts w:hint="eastAsia" w:ascii="宋体" w:hAnsi="宋体" w:eastAsia="宋体" w:cs="宋体"/>
          <w:spacing w:val="20"/>
          <w:sz w:val="24"/>
          <w:lang w:val="en-US" w:eastAsia="zh-CN"/>
        </w:rPr>
        <w:t>开设的“互联网+公交”运营模式公交线路提供技术支撑，保障线路的正常运行。</w:t>
      </w:r>
    </w:p>
    <w:p>
      <w:pPr>
        <w:spacing w:line="560" w:lineRule="exact"/>
        <w:ind w:firstLine="482" w:firstLineChars="200"/>
        <w:rPr>
          <w:rFonts w:ascii="宋体" w:hAnsi="宋体" w:cs="宋体"/>
          <w:b/>
          <w:bCs/>
          <w:sz w:val="24"/>
        </w:rPr>
      </w:pPr>
      <w:r>
        <w:rPr>
          <w:rFonts w:hint="eastAsia" w:ascii="宋体" w:hAnsi="宋体" w:cs="宋体"/>
          <w:b/>
          <w:bCs/>
          <w:sz w:val="24"/>
        </w:rPr>
        <w:t>六、合格供应商资格要求</w:t>
      </w:r>
    </w:p>
    <w:p>
      <w:pPr>
        <w:spacing w:line="560" w:lineRule="exact"/>
        <w:ind w:firstLine="480" w:firstLineChars="200"/>
        <w:rPr>
          <w:rFonts w:ascii="宋体" w:hAnsi="宋体" w:cs="宋体"/>
          <w:sz w:val="24"/>
        </w:rPr>
      </w:pPr>
      <w:r>
        <w:rPr>
          <w:rFonts w:hint="eastAsia" w:ascii="宋体" w:hAnsi="宋体" w:cs="宋体"/>
          <w:sz w:val="24"/>
        </w:rPr>
        <w:t>（一）具有独立承担民事责任能力的在中华人民共和国境内注册的企业法人或其他社会组织，提供营业执照等。</w:t>
      </w:r>
    </w:p>
    <w:p>
      <w:pPr>
        <w:spacing w:line="560" w:lineRule="exact"/>
        <w:ind w:firstLine="480" w:firstLineChars="200"/>
        <w:rPr>
          <w:rFonts w:ascii="宋体" w:hAnsi="宋体" w:cs="宋体"/>
          <w:sz w:val="24"/>
        </w:rPr>
      </w:pPr>
      <w:r>
        <w:rPr>
          <w:rFonts w:hint="eastAsia" w:ascii="宋体" w:hAnsi="宋体" w:cs="宋体"/>
          <w:sz w:val="24"/>
        </w:rPr>
        <w:t>（二）供应商具有</w:t>
      </w:r>
      <w:r>
        <w:rPr>
          <w:rFonts w:hint="eastAsia" w:ascii="宋体" w:hAnsi="宋体" w:cs="宋体"/>
          <w:sz w:val="24"/>
          <w:lang w:val="en-US" w:eastAsia="zh-CN"/>
        </w:rPr>
        <w:t>软件</w:t>
      </w:r>
      <w:r>
        <w:rPr>
          <w:rFonts w:hint="eastAsia" w:ascii="宋体" w:hAnsi="宋体" w:cs="宋体"/>
          <w:sz w:val="24"/>
        </w:rPr>
        <w:t>或</w:t>
      </w:r>
      <w:r>
        <w:rPr>
          <w:rFonts w:hint="eastAsia" w:ascii="宋体" w:hAnsi="宋体" w:cs="宋体"/>
          <w:sz w:val="24"/>
          <w:lang w:val="en-US" w:eastAsia="zh-CN"/>
        </w:rPr>
        <w:t>互联网应用</w:t>
      </w:r>
      <w:r>
        <w:rPr>
          <w:rFonts w:hint="eastAsia" w:ascii="宋体" w:hAnsi="宋体" w:cs="宋体"/>
          <w:sz w:val="24"/>
        </w:rPr>
        <w:t>等</w:t>
      </w:r>
      <w:r>
        <w:rPr>
          <w:rFonts w:hint="eastAsia" w:ascii="宋体" w:hAnsi="宋体" w:cs="宋体"/>
          <w:sz w:val="24"/>
          <w:lang w:val="en-US" w:eastAsia="zh-CN"/>
        </w:rPr>
        <w:t>互联网方面</w:t>
      </w:r>
      <w:r>
        <w:rPr>
          <w:rFonts w:hint="eastAsia" w:ascii="宋体" w:hAnsi="宋体" w:cs="宋体"/>
          <w:sz w:val="24"/>
        </w:rPr>
        <w:t>相关</w:t>
      </w:r>
      <w:r>
        <w:rPr>
          <w:rFonts w:hint="eastAsia" w:ascii="宋体" w:hAnsi="宋体" w:cs="宋体"/>
          <w:sz w:val="24"/>
          <w:lang w:val="en-US" w:eastAsia="zh-CN"/>
        </w:rPr>
        <w:t>经营许可或</w:t>
      </w:r>
      <w:r>
        <w:rPr>
          <w:rFonts w:hint="eastAsia" w:ascii="宋体" w:hAnsi="宋体" w:cs="宋体"/>
          <w:sz w:val="24"/>
        </w:rPr>
        <w:t>资质。</w:t>
      </w:r>
    </w:p>
    <w:p>
      <w:pPr>
        <w:spacing w:line="560" w:lineRule="exact"/>
        <w:ind w:firstLine="480" w:firstLineChars="200"/>
        <w:rPr>
          <w:rFonts w:ascii="宋体" w:hAnsi="宋体" w:cs="宋体"/>
          <w:sz w:val="24"/>
        </w:rPr>
      </w:pPr>
      <w:r>
        <w:rPr>
          <w:rFonts w:hint="eastAsia" w:ascii="宋体" w:hAnsi="宋体" w:cs="宋体"/>
          <w:sz w:val="24"/>
        </w:rPr>
        <w:t>（三）供应商承诺不得以任何方式转包或分包本项目。</w:t>
      </w:r>
    </w:p>
    <w:p>
      <w:pPr>
        <w:spacing w:line="560" w:lineRule="exact"/>
        <w:ind w:firstLine="480" w:firstLineChars="200"/>
        <w:rPr>
          <w:rFonts w:ascii="宋体" w:hAnsi="宋体" w:cs="宋体"/>
          <w:sz w:val="24"/>
        </w:rPr>
      </w:pPr>
      <w:r>
        <w:rPr>
          <w:rFonts w:hint="eastAsia" w:ascii="宋体" w:hAnsi="宋体" w:cs="宋体"/>
          <w:sz w:val="24"/>
        </w:rPr>
        <w:t>（四）参评供应商满足本项目的主要需求，填写《需求响应表》并全部完全响应，无负偏离。</w:t>
      </w:r>
    </w:p>
    <w:p>
      <w:pPr>
        <w:spacing w:line="560" w:lineRule="exact"/>
        <w:ind w:firstLine="480" w:firstLineChars="200"/>
        <w:rPr>
          <w:rFonts w:ascii="宋体" w:hAnsi="宋体" w:cs="宋体"/>
          <w:sz w:val="24"/>
        </w:rPr>
      </w:pPr>
      <w:r>
        <w:rPr>
          <w:rFonts w:hint="eastAsia" w:ascii="宋体" w:hAnsi="宋体" w:cs="宋体"/>
          <w:sz w:val="24"/>
        </w:rPr>
        <w:t>（五）非联合体潜在供应商参评报价。</w:t>
      </w:r>
    </w:p>
    <w:p>
      <w:pPr>
        <w:spacing w:line="560" w:lineRule="exact"/>
        <w:ind w:firstLine="480" w:firstLineChars="200"/>
        <w:rPr>
          <w:rFonts w:ascii="宋体" w:hAnsi="宋体" w:cs="宋体"/>
          <w:sz w:val="24"/>
        </w:rPr>
      </w:pPr>
      <w:r>
        <w:rPr>
          <w:rFonts w:hint="eastAsia" w:ascii="宋体" w:hAnsi="宋体" w:cs="宋体"/>
          <w:sz w:val="24"/>
        </w:rPr>
        <w:t>（六）报价为唯一固定价且未超过报价限价。</w:t>
      </w:r>
    </w:p>
    <w:p>
      <w:pPr>
        <w:spacing w:line="560" w:lineRule="exact"/>
        <w:ind w:firstLine="480" w:firstLineChars="200"/>
        <w:rPr>
          <w:rFonts w:ascii="宋体" w:hAnsi="宋体" w:cs="宋体"/>
          <w:sz w:val="24"/>
        </w:rPr>
      </w:pPr>
      <w:r>
        <w:rPr>
          <w:rFonts w:hint="eastAsia" w:ascii="宋体" w:hAnsi="宋体" w:cs="宋体"/>
          <w:sz w:val="24"/>
        </w:rPr>
        <w:t>（七）供应商承诺所提供材料真实、准确，并随时接受采购人核实查验。</w:t>
      </w:r>
    </w:p>
    <w:p>
      <w:pPr>
        <w:spacing w:line="560" w:lineRule="exact"/>
        <w:ind w:firstLine="482" w:firstLineChars="200"/>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（一）本项目的采购公告信息在中山市公共交通运输集团有限公司官方网站（https://www.zsbus.cn/infolist.aspx?cid=35）及中山产权服务网（http://zscq.zsnews.cn/）上公布，并视为有效送达，不再另行通知。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r>
        <w:rPr>
          <w:rFonts w:hint="eastAsia" w:ascii="宋体" w:hAnsi="宋体" w:cs="宋体"/>
          <w:sz w:val="24"/>
          <w:highlight w:val="none"/>
          <w:lang w:val="en-US" w:eastAsia="zh-CN"/>
        </w:rPr>
        <w:t>18</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2" w:firstLineChars="200"/>
        <w:rPr>
          <w:rFonts w:ascii="宋体" w:hAnsi="宋体" w:cs="宋体"/>
          <w:b/>
          <w:bCs/>
          <w:sz w:val="24"/>
        </w:rPr>
      </w:pPr>
      <w:r>
        <w:rPr>
          <w:rFonts w:hint="eastAsia" w:ascii="宋体" w:hAnsi="宋体" w:cs="宋体"/>
          <w:b/>
          <w:bCs/>
          <w:sz w:val="24"/>
        </w:rPr>
        <w:t>八、报名要求</w:t>
      </w:r>
    </w:p>
    <w:p>
      <w:pPr>
        <w:spacing w:line="560" w:lineRule="exact"/>
        <w:ind w:firstLine="480" w:firstLineChars="200"/>
        <w:rPr>
          <w:rFonts w:ascii="宋体" w:hAnsi="宋体" w:cs="宋体"/>
          <w:sz w:val="24"/>
        </w:rPr>
      </w:pPr>
      <w:r>
        <w:rPr>
          <w:rFonts w:hint="eastAsia" w:ascii="宋体" w:hAnsi="宋体" w:cs="宋体"/>
          <w:sz w:val="24"/>
        </w:rPr>
        <w:t>（一）报名方式：供应商自行获取采购文件后，需在报名时间截止前提交一份参评文件，参评文件格式要求详见第四部分《参评响应文件格式》；</w:t>
      </w:r>
      <w:r>
        <w:rPr>
          <w:rFonts w:hint="eastAsia" w:ascii="宋体" w:hAnsi="宋体" w:cs="宋体"/>
          <w:b/>
          <w:bCs/>
          <w:sz w:val="24"/>
        </w:rPr>
        <w:t>参评文件要求盖章后扫描，发送到指定邮箱</w:t>
      </w:r>
      <w:r>
        <w:rPr>
          <w:rFonts w:hint="eastAsia" w:ascii="宋体" w:hAnsi="宋体" w:cs="宋体"/>
          <w:sz w:val="24"/>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r>
        <w:rPr>
          <w:rFonts w:hint="eastAsia" w:ascii="宋体" w:hAnsi="宋体" w:cs="宋体"/>
          <w:sz w:val="24"/>
          <w:highlight w:val="none"/>
          <w:lang w:val="en-US" w:eastAsia="zh-CN"/>
        </w:rPr>
        <w:t>18</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，超时不接受任何供应商报名。</w:t>
      </w:r>
    </w:p>
    <w:p>
      <w:pPr>
        <w:pStyle w:val="31"/>
        <w:spacing w:line="560" w:lineRule="exact"/>
        <w:ind w:firstLine="480" w:firstLineChars="200"/>
        <w:rPr>
          <w:rFonts w:ascii="宋体" w:hAnsi="宋体"/>
          <w:sz w:val="24"/>
        </w:rPr>
      </w:pPr>
      <w:r>
        <w:rPr>
          <w:rFonts w:hint="eastAsia" w:ascii="宋体" w:hAnsi="宋体" w:cs="宋体"/>
          <w:sz w:val="24"/>
        </w:rPr>
        <w:t>（三）参评文件递交邮箱：zsbus_auditing@163.com。</w:t>
      </w:r>
    </w:p>
    <w:p>
      <w:pPr>
        <w:spacing w:line="560" w:lineRule="exact"/>
        <w:ind w:firstLine="482" w:firstLineChars="200"/>
        <w:rPr>
          <w:rFonts w:ascii="宋体" w:hAnsi="宋体" w:cs="宋体"/>
          <w:b/>
          <w:bCs/>
          <w:sz w:val="24"/>
        </w:rPr>
      </w:pPr>
      <w:r>
        <w:rPr>
          <w:rFonts w:hint="eastAsia" w:ascii="宋体" w:hAnsi="宋体" w:cs="宋体"/>
          <w:b/>
          <w:bCs/>
          <w:sz w:val="24"/>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highlight w:val="none"/>
          <w:lang w:val="en-US" w:eastAsia="zh-CN"/>
        </w:rPr>
        <w:t>9</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（二）评审地点：中山公交集团城南办公楼会议室，评审时供应商无需到场参加。</w:t>
      </w:r>
    </w:p>
    <w:p>
      <w:pPr>
        <w:spacing w:line="560" w:lineRule="exact"/>
        <w:ind w:firstLine="482" w:firstLineChars="200"/>
        <w:rPr>
          <w:rFonts w:ascii="宋体" w:hAnsi="宋体" w:cs="宋体"/>
          <w:b/>
          <w:bCs/>
          <w:sz w:val="24"/>
        </w:rPr>
      </w:pPr>
      <w:r>
        <w:rPr>
          <w:rFonts w:hint="eastAsia" w:ascii="宋体" w:hAnsi="宋体" w:cs="宋体"/>
          <w:b/>
          <w:bCs/>
          <w:sz w:val="24"/>
        </w:rPr>
        <w:t>十、评审结果公示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活动。</w:t>
      </w:r>
    </w:p>
    <w:p>
      <w:pPr>
        <w:spacing w:line="560" w:lineRule="exact"/>
        <w:ind w:firstLine="482" w:firstLineChars="200"/>
        <w:rPr>
          <w:rFonts w:ascii="宋体" w:hAnsi="宋体" w:cs="宋体"/>
          <w:b/>
          <w:bCs/>
          <w:sz w:val="24"/>
        </w:rPr>
      </w:pPr>
      <w:r>
        <w:rPr>
          <w:rFonts w:hint="eastAsia" w:ascii="宋体" w:hAnsi="宋体" w:cs="宋体"/>
          <w:b/>
          <w:bCs/>
          <w:sz w:val="24"/>
        </w:rPr>
        <w:t>十一、采购人联系方式</w:t>
      </w:r>
    </w:p>
    <w:p>
      <w:pPr>
        <w:spacing w:line="560" w:lineRule="exact"/>
        <w:ind w:firstLine="480" w:firstLineChars="200"/>
        <w:rPr>
          <w:rFonts w:ascii="宋体" w:hAnsi="宋体" w:cs="宋体"/>
          <w:sz w:val="24"/>
        </w:rPr>
      </w:pPr>
      <w:r>
        <w:rPr>
          <w:rFonts w:hint="eastAsia" w:ascii="宋体" w:hAnsi="宋体" w:cs="宋体"/>
          <w:sz w:val="24"/>
        </w:rPr>
        <w:t>（一）采购人联系电话：</w:t>
      </w:r>
      <w:r>
        <w:rPr>
          <w:rFonts w:hint="eastAsia" w:ascii="宋体" w:hAnsi="宋体" w:cs="宋体"/>
          <w:sz w:val="24"/>
          <w:lang w:val="en-US" w:eastAsia="zh-CN"/>
        </w:rPr>
        <w:t>袁</w:t>
      </w:r>
      <w:r>
        <w:rPr>
          <w:rFonts w:hint="eastAsia" w:ascii="宋体" w:hAnsi="宋体"/>
          <w:sz w:val="24"/>
        </w:rPr>
        <w:t>先生</w:t>
      </w:r>
      <w:r>
        <w:rPr>
          <w:rFonts w:hint="eastAsia" w:ascii="宋体" w:hAnsi="宋体"/>
          <w:sz w:val="24"/>
          <w:lang w:val="en-US" w:eastAsia="zh-CN"/>
        </w:rPr>
        <w:t>15815701538</w:t>
      </w:r>
    </w:p>
    <w:p>
      <w:pPr>
        <w:spacing w:line="560" w:lineRule="exact"/>
        <w:ind w:firstLine="480" w:firstLineChars="200"/>
        <w:jc w:val="left"/>
        <w:rPr>
          <w:rFonts w:ascii="宋体" w:hAnsi="宋体" w:cs="宋体"/>
          <w:bCs/>
          <w:sz w:val="44"/>
          <w:szCs w:val="32"/>
        </w:rPr>
      </w:pPr>
      <w:r>
        <w:rPr>
          <w:rFonts w:hint="eastAsia" w:ascii="宋体" w:hAnsi="宋体" w:cs="宋体"/>
          <w:sz w:val="24"/>
        </w:rPr>
        <w:t>（二）采购人联系地址：中山市南区城南三路38号</w:t>
      </w:r>
    </w:p>
    <w:p>
      <w:pPr>
        <w:spacing w:line="560" w:lineRule="exact"/>
        <w:jc w:val="left"/>
        <w:rPr>
          <w:rFonts w:ascii="宋体" w:hAnsi="宋体" w:cs="宋体"/>
          <w:sz w:val="24"/>
        </w:rPr>
      </w:pPr>
    </w:p>
    <w:p>
      <w:pPr>
        <w:adjustRightInd w:val="0"/>
        <w:snapToGrid w:val="0"/>
        <w:spacing w:before="24" w:beforeLines="10" w:after="24" w:afterLines="10" w:line="360" w:lineRule="auto"/>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cols w:space="720" w:num="1"/>
          <w:docGrid w:linePitch="312" w:charSpace="0"/>
        </w:sect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15</w:t>
      </w:r>
      <w:r>
        <w:rPr>
          <w:rFonts w:hint="eastAsia" w:ascii="宋体" w:hAnsi="宋体"/>
          <w:sz w:val="24"/>
        </w:rPr>
        <w:t>日</w:t>
      </w:r>
    </w:p>
    <w:p/>
    <w:p>
      <w:pPr>
        <w:pStyle w:val="17"/>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第二部分  用户需求书</w:t>
      </w:r>
    </w:p>
    <w:bookmarkEnd w:id="3"/>
    <w:p>
      <w:pPr>
        <w:pStyle w:val="31"/>
        <w:spacing w:line="560" w:lineRule="exact"/>
        <w:ind w:firstLine="513" w:firstLineChars="214"/>
        <w:rPr>
          <w:rFonts w:ascii="宋体" w:hAnsi="宋体" w:cs="宋体"/>
          <w:bCs/>
          <w:sz w:val="24"/>
        </w:rPr>
      </w:pPr>
    </w:p>
    <w:p>
      <w:pPr>
        <w:spacing w:line="560" w:lineRule="exact"/>
        <w:ind w:firstLine="480" w:firstLineChars="200"/>
        <w:rPr>
          <w:rFonts w:ascii="宋体" w:hAnsi="宋体" w:cs="宋体"/>
          <w:bCs/>
          <w:sz w:val="24"/>
        </w:rPr>
      </w:pPr>
      <w:r>
        <w:rPr>
          <w:rFonts w:hint="eastAsia" w:ascii="宋体" w:hAnsi="宋体" w:cs="宋体"/>
          <w:bCs/>
          <w:sz w:val="24"/>
          <w:lang w:val="en-US" w:eastAsia="zh-CN"/>
        </w:rPr>
        <w:t>一</w:t>
      </w:r>
      <w:r>
        <w:rPr>
          <w:rFonts w:hint="eastAsia" w:ascii="宋体" w:hAnsi="宋体" w:cs="宋体"/>
          <w:bCs/>
          <w:sz w:val="24"/>
        </w:rPr>
        <w:t>、</w:t>
      </w:r>
      <w:r>
        <w:rPr>
          <w:rFonts w:hint="eastAsia" w:ascii="宋体" w:hAnsi="宋体" w:cs="宋体"/>
          <w:bCs/>
          <w:sz w:val="24"/>
          <w:lang w:val="en-US" w:eastAsia="zh-CN"/>
        </w:rPr>
        <w:t>服务</w:t>
      </w:r>
      <w:r>
        <w:rPr>
          <w:rFonts w:hint="eastAsia" w:ascii="宋体" w:hAnsi="宋体" w:cs="宋体"/>
          <w:bCs/>
          <w:sz w:val="24"/>
        </w:rPr>
        <w:t>内容及要求</w:t>
      </w:r>
      <w:bookmarkStart w:id="5" w:name="_GoBack"/>
      <w:bookmarkEnd w:id="5"/>
    </w:p>
    <w:p>
      <w:pPr>
        <w:spacing w:line="5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供应商提供响应式公交平台服务，为</w:t>
      </w:r>
      <w:r>
        <w:rPr>
          <w:rFonts w:hint="eastAsia" w:ascii="宋体" w:hAnsi="宋体" w:cs="宋体"/>
          <w:bCs/>
          <w:sz w:val="24"/>
          <w:lang w:val="en-US" w:eastAsia="zh-CN"/>
        </w:rPr>
        <w:t>采购人</w:t>
      </w:r>
      <w:r>
        <w:rPr>
          <w:rFonts w:hint="eastAsia" w:ascii="宋体" w:hAnsi="宋体" w:eastAsia="宋体" w:cs="宋体"/>
          <w:bCs/>
          <w:sz w:val="24"/>
          <w:lang w:val="en-US" w:eastAsia="zh-CN"/>
        </w:rPr>
        <w:t>开设的“互联网+公交”运营模式公交线路提供技术支撑，保障线路的正常运行。</w:t>
      </w:r>
    </w:p>
    <w:p>
      <w:pPr>
        <w:spacing w:line="5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响应式公交平台</w:t>
      </w:r>
      <w:r>
        <w:rPr>
          <w:rFonts w:hint="eastAsia" w:ascii="宋体" w:hAnsi="宋体" w:cs="宋体"/>
          <w:bCs/>
          <w:sz w:val="24"/>
          <w:lang w:val="en-US" w:eastAsia="zh-CN"/>
        </w:rPr>
        <w:t>应具备</w:t>
      </w:r>
      <w:r>
        <w:rPr>
          <w:rFonts w:hint="eastAsia" w:ascii="宋体" w:hAnsi="宋体" w:eastAsia="宋体" w:cs="宋体"/>
          <w:bCs/>
          <w:sz w:val="24"/>
          <w:lang w:val="en-US" w:eastAsia="zh-CN"/>
        </w:rPr>
        <w:t>乘客端、司机端以及</w:t>
      </w:r>
      <w:r>
        <w:rPr>
          <w:rFonts w:hint="eastAsia" w:ascii="宋体" w:hAnsi="宋体" w:cs="宋体"/>
          <w:bCs/>
          <w:sz w:val="24"/>
          <w:lang w:val="en-US" w:eastAsia="zh-CN"/>
        </w:rPr>
        <w:t>管理后台</w:t>
      </w:r>
      <w:r>
        <w:rPr>
          <w:rFonts w:hint="eastAsia" w:ascii="宋体" w:hAnsi="宋体" w:eastAsia="宋体" w:cs="宋体"/>
          <w:bCs/>
          <w:sz w:val="24"/>
          <w:lang w:val="en-US" w:eastAsia="zh-CN"/>
        </w:rPr>
        <w:t>端，</w:t>
      </w:r>
      <w:r>
        <w:rPr>
          <w:rFonts w:hint="eastAsia" w:ascii="宋体" w:hAnsi="宋体" w:cs="宋体"/>
          <w:bCs/>
          <w:sz w:val="24"/>
          <w:lang w:val="en-US" w:eastAsia="zh-CN"/>
        </w:rPr>
        <w:t>可快速进行平台云部署。乘客端具有运营区域查询、下单购票、订单查询、服务评价等功能，</w:t>
      </w:r>
      <w:r>
        <w:rPr>
          <w:rFonts w:hint="eastAsia" w:ascii="宋体" w:hAnsi="宋体" w:eastAsia="宋体" w:cs="宋体"/>
          <w:bCs/>
          <w:sz w:val="24"/>
          <w:lang w:val="en-US" w:eastAsia="zh-CN"/>
        </w:rPr>
        <w:t>乘客通过乘客端上传乘车需求</w:t>
      </w:r>
      <w:r>
        <w:rPr>
          <w:rFonts w:hint="eastAsia" w:ascii="宋体" w:hAnsi="宋体" w:cs="宋体"/>
          <w:bCs/>
          <w:sz w:val="24"/>
          <w:lang w:val="en-US" w:eastAsia="zh-CN"/>
        </w:rPr>
        <w:t>；</w:t>
      </w:r>
      <w:r>
        <w:rPr>
          <w:rFonts w:hint="eastAsia" w:ascii="宋体" w:hAnsi="宋体" w:eastAsia="宋体" w:cs="宋体"/>
          <w:bCs/>
          <w:sz w:val="24"/>
          <w:lang w:val="en-US" w:eastAsia="zh-CN"/>
        </w:rPr>
        <w:t>平台将乘客端的乘客乘车需求进行优化组合，规划合理路线，将规划后的合理路线发送给司机端，司机通过司机端信息驾驶，为乘客提供出行服务</w:t>
      </w:r>
      <w:r>
        <w:rPr>
          <w:rFonts w:hint="eastAsia" w:ascii="宋体" w:hAnsi="宋体" w:cs="宋体"/>
          <w:bCs/>
          <w:sz w:val="24"/>
          <w:lang w:val="en-US" w:eastAsia="zh-CN"/>
        </w:rPr>
        <w:t>；管理</w:t>
      </w:r>
      <w:r>
        <w:rPr>
          <w:rFonts w:hint="eastAsia" w:ascii="宋体" w:hAnsi="宋体" w:eastAsia="宋体" w:cs="宋体"/>
          <w:bCs/>
          <w:sz w:val="24"/>
          <w:lang w:val="en-US" w:eastAsia="zh-CN"/>
        </w:rPr>
        <w:t>后台端保存</w:t>
      </w:r>
      <w:r>
        <w:rPr>
          <w:rFonts w:hint="eastAsia" w:ascii="宋体" w:hAnsi="宋体" w:cs="宋体"/>
          <w:bCs/>
          <w:sz w:val="24"/>
          <w:lang w:val="en-US" w:eastAsia="zh-CN"/>
        </w:rPr>
        <w:t>有车辆信息、</w:t>
      </w:r>
      <w:r>
        <w:rPr>
          <w:rFonts w:hint="eastAsia" w:ascii="宋体" w:hAnsi="宋体" w:eastAsia="宋体" w:cs="宋体"/>
          <w:bCs/>
          <w:sz w:val="24"/>
          <w:lang w:val="en-US" w:eastAsia="zh-CN"/>
        </w:rPr>
        <w:t>司机信息、订单信息</w:t>
      </w:r>
      <w:r>
        <w:rPr>
          <w:rFonts w:hint="eastAsia" w:ascii="宋体" w:hAnsi="宋体" w:cs="宋体"/>
          <w:bCs/>
          <w:sz w:val="24"/>
          <w:lang w:val="en-US" w:eastAsia="zh-CN"/>
        </w:rPr>
        <w:t>、车票信息</w:t>
      </w:r>
      <w:r>
        <w:rPr>
          <w:rFonts w:hint="eastAsia" w:ascii="宋体" w:hAnsi="宋体" w:eastAsia="宋体" w:cs="宋体"/>
          <w:bCs/>
          <w:sz w:val="24"/>
          <w:lang w:val="en-US" w:eastAsia="zh-CN"/>
        </w:rPr>
        <w:t>等信息</w:t>
      </w:r>
      <w:r>
        <w:rPr>
          <w:rFonts w:hint="eastAsia" w:ascii="宋体" w:hAnsi="宋体" w:cs="宋体"/>
          <w:bCs/>
          <w:sz w:val="24"/>
          <w:lang w:val="en-US" w:eastAsia="zh-CN"/>
        </w:rPr>
        <w:t>，支持设置多个运营区域，并支持不同运营区域设置不同站点以及运营服务时间、票价</w:t>
      </w:r>
      <w:r>
        <w:rPr>
          <w:rFonts w:hint="eastAsia" w:ascii="宋体" w:hAnsi="宋体" w:eastAsia="宋体" w:cs="宋体"/>
          <w:bCs/>
          <w:sz w:val="24"/>
          <w:lang w:val="en-US" w:eastAsia="zh-CN"/>
        </w:rPr>
        <w:t>。</w:t>
      </w:r>
    </w:p>
    <w:p>
      <w:pPr>
        <w:spacing w:line="560" w:lineRule="exact"/>
        <w:ind w:firstLine="480" w:firstLineChars="200"/>
        <w:rPr>
          <w:rFonts w:hint="eastAsia" w:ascii="宋体" w:hAnsi="宋体" w:cs="宋体"/>
          <w:bCs/>
          <w:sz w:val="24"/>
          <w:lang w:val="en-US" w:eastAsia="zh-CN"/>
        </w:rPr>
      </w:pPr>
      <w:r>
        <w:rPr>
          <w:rFonts w:hint="eastAsia" w:ascii="宋体" w:hAnsi="宋体" w:cs="宋体"/>
          <w:bCs/>
          <w:sz w:val="24"/>
          <w:lang w:val="en-US" w:eastAsia="zh-CN"/>
        </w:rPr>
        <w:t>响应式公交平台以定制化服务功能模块形式（非供应商独立产品形式）集成至“中山公交集团”微信官方服务号。产生票款直接到达采购人的商户账号，不能由供应商中转。</w:t>
      </w:r>
    </w:p>
    <w:p>
      <w:pPr>
        <w:spacing w:line="560" w:lineRule="exact"/>
        <w:ind w:firstLine="480" w:firstLineChars="200"/>
        <w:rPr>
          <w:rFonts w:ascii="宋体" w:hAnsi="宋体" w:cs="宋体"/>
          <w:bCs/>
          <w:sz w:val="24"/>
        </w:rPr>
      </w:pPr>
      <w:r>
        <w:rPr>
          <w:rFonts w:hint="eastAsia" w:ascii="宋体" w:hAnsi="宋体" w:eastAsia="宋体" w:cs="宋体"/>
          <w:bCs/>
          <w:sz w:val="24"/>
          <w:lang w:val="en-US" w:eastAsia="zh-CN"/>
        </w:rPr>
        <w:t>服务期内供应商应提供相应的</w:t>
      </w:r>
      <w:r>
        <w:rPr>
          <w:rFonts w:hint="eastAsia" w:ascii="宋体" w:hAnsi="宋体" w:cs="宋体"/>
          <w:bCs/>
          <w:sz w:val="24"/>
          <w:lang w:val="en-US" w:eastAsia="zh-CN"/>
        </w:rPr>
        <w:t>售后</w:t>
      </w:r>
      <w:r>
        <w:rPr>
          <w:rFonts w:hint="eastAsia" w:ascii="宋体" w:hAnsi="宋体" w:eastAsia="宋体" w:cs="宋体"/>
          <w:bCs/>
          <w:sz w:val="24"/>
          <w:lang w:val="en-US" w:eastAsia="zh-CN"/>
        </w:rPr>
        <w:t>服务保障，</w:t>
      </w:r>
      <w:r>
        <w:rPr>
          <w:rFonts w:hint="eastAsia" w:ascii="宋体" w:hAnsi="宋体" w:cs="宋体"/>
          <w:bCs/>
          <w:sz w:val="24"/>
          <w:lang w:val="en-US" w:eastAsia="zh-CN"/>
        </w:rPr>
        <w:t>响应式</w:t>
      </w:r>
      <w:r>
        <w:rPr>
          <w:rFonts w:hint="eastAsia" w:ascii="宋体" w:hAnsi="宋体" w:eastAsia="宋体" w:cs="宋体"/>
          <w:bCs/>
          <w:sz w:val="24"/>
          <w:lang w:val="en-US" w:eastAsia="zh-CN"/>
        </w:rPr>
        <w:t>平台时出现</w:t>
      </w:r>
      <w:r>
        <w:rPr>
          <w:rFonts w:hint="eastAsia" w:ascii="宋体" w:hAnsi="宋体" w:cs="宋体"/>
          <w:bCs/>
          <w:sz w:val="24"/>
          <w:lang w:val="en-US" w:eastAsia="zh-CN"/>
        </w:rPr>
        <w:t>运行</w:t>
      </w:r>
      <w:r>
        <w:rPr>
          <w:rFonts w:hint="eastAsia" w:ascii="宋体" w:hAnsi="宋体" w:eastAsia="宋体" w:cs="宋体"/>
          <w:bCs/>
          <w:sz w:val="24"/>
          <w:lang w:val="en-US" w:eastAsia="zh-CN"/>
        </w:rPr>
        <w:t>问题</w:t>
      </w:r>
      <w:r>
        <w:rPr>
          <w:rFonts w:hint="eastAsia" w:ascii="宋体" w:hAnsi="宋体" w:cs="宋体"/>
          <w:bCs/>
          <w:sz w:val="24"/>
          <w:lang w:val="en-US" w:eastAsia="zh-CN"/>
        </w:rPr>
        <w:t>时，应于采购人提出问题后1小时内响应问题，开始排查、处理问题</w:t>
      </w:r>
      <w:r>
        <w:rPr>
          <w:rFonts w:hint="eastAsia" w:ascii="宋体" w:hAnsi="宋体" w:cs="宋体"/>
          <w:bCs/>
          <w:sz w:val="24"/>
        </w:rPr>
        <w:t>。</w:t>
      </w:r>
    </w:p>
    <w:p>
      <w:pPr>
        <w:spacing w:line="560" w:lineRule="exact"/>
        <w:ind w:firstLine="480" w:firstLineChars="200"/>
        <w:rPr>
          <w:rFonts w:ascii="宋体" w:hAnsi="宋体" w:cs="宋体"/>
          <w:bCs/>
          <w:sz w:val="24"/>
        </w:rPr>
      </w:pPr>
      <w:r>
        <w:rPr>
          <w:rFonts w:hint="eastAsia" w:ascii="宋体" w:hAnsi="宋体" w:cs="宋体"/>
          <w:bCs/>
          <w:sz w:val="24"/>
          <w:lang w:val="en-US" w:eastAsia="zh-CN"/>
        </w:rPr>
        <w:t>二</w:t>
      </w:r>
      <w:r>
        <w:rPr>
          <w:rFonts w:hint="eastAsia" w:ascii="宋体" w:hAnsi="宋体" w:cs="宋体"/>
          <w:bCs/>
          <w:sz w:val="24"/>
        </w:rPr>
        <w:t>、付款方式</w:t>
      </w:r>
    </w:p>
    <w:p>
      <w:pPr>
        <w:spacing w:line="560" w:lineRule="exact"/>
        <w:ind w:firstLine="480" w:firstLineChars="200"/>
        <w:rPr>
          <w:rFonts w:ascii="宋体" w:hAnsi="宋体" w:cs="宋体"/>
          <w:bCs/>
          <w:sz w:val="24"/>
        </w:rPr>
      </w:pPr>
      <w:r>
        <w:rPr>
          <w:rFonts w:hint="eastAsia" w:ascii="宋体" w:hAnsi="宋体" w:cs="宋体"/>
          <w:bCs/>
          <w:sz w:val="24"/>
          <w:lang w:val="en-US" w:eastAsia="zh-CN"/>
        </w:rPr>
        <w:t>采购人在每个服务年度结束后的首月收到对应金额的增值税发票后的15个工作日</w:t>
      </w:r>
      <w:r>
        <w:rPr>
          <w:rFonts w:hint="eastAsia" w:ascii="宋体" w:hAnsi="宋体" w:cs="宋体"/>
          <w:bCs/>
          <w:sz w:val="24"/>
        </w:rPr>
        <w:t>内，以银行转账方式向中选人支付该</w:t>
      </w:r>
      <w:r>
        <w:rPr>
          <w:rFonts w:hint="eastAsia" w:ascii="宋体" w:hAnsi="宋体" w:cs="宋体"/>
          <w:bCs/>
          <w:sz w:val="24"/>
          <w:lang w:val="en-US" w:eastAsia="zh-CN"/>
        </w:rPr>
        <w:t>年度服务费</w:t>
      </w:r>
      <w:r>
        <w:rPr>
          <w:rFonts w:hint="eastAsia" w:ascii="宋体" w:hAnsi="宋体" w:cs="宋体"/>
          <w:bCs/>
          <w:sz w:val="24"/>
        </w:rPr>
        <w:t>。</w:t>
      </w:r>
    </w:p>
    <w:p>
      <w:pPr>
        <w:spacing w:line="560" w:lineRule="exact"/>
        <w:ind w:firstLine="482" w:firstLineChars="200"/>
        <w:rPr>
          <w:rFonts w:hint="eastAsia" w:ascii="宋体" w:hAnsi="宋体" w:cs="宋体"/>
          <w:b/>
          <w:bCs/>
          <w:sz w:val="24"/>
        </w:rPr>
      </w:pPr>
    </w:p>
    <w:p>
      <w:pPr>
        <w:spacing w:line="560" w:lineRule="exact"/>
        <w:ind w:firstLine="482" w:firstLineChars="200"/>
        <w:rPr>
          <w:rFonts w:hint="eastAsia" w:ascii="宋体" w:hAnsi="宋体" w:cs="宋体"/>
          <w:b/>
          <w:bCs/>
          <w:sz w:val="24"/>
        </w:rPr>
      </w:pPr>
    </w:p>
    <w:p>
      <w:pPr>
        <w:spacing w:line="560" w:lineRule="exact"/>
        <w:ind w:firstLine="482" w:firstLineChars="200"/>
        <w:rPr>
          <w:rFonts w:hint="eastAsia" w:ascii="宋体" w:hAnsi="宋体" w:cs="宋体"/>
          <w:b/>
          <w:bCs/>
          <w:sz w:val="24"/>
        </w:rPr>
      </w:pPr>
    </w:p>
    <w:p>
      <w:pPr>
        <w:spacing w:line="560" w:lineRule="exact"/>
        <w:ind w:firstLine="482" w:firstLineChars="200"/>
        <w:rPr>
          <w:rFonts w:hint="eastAsia" w:ascii="宋体" w:hAnsi="宋体" w:cs="宋体"/>
          <w:b/>
          <w:bCs/>
          <w:sz w:val="24"/>
        </w:rPr>
      </w:pPr>
    </w:p>
    <w:p>
      <w:pPr>
        <w:spacing w:line="560" w:lineRule="exact"/>
        <w:ind w:firstLine="482" w:firstLineChars="200"/>
        <w:rPr>
          <w:rFonts w:hint="eastAsia" w:ascii="宋体" w:hAnsi="宋体" w:cs="宋体"/>
          <w:b/>
          <w:bCs/>
          <w:sz w:val="24"/>
        </w:rPr>
      </w:pPr>
    </w:p>
    <w:p>
      <w:pPr>
        <w:spacing w:line="560" w:lineRule="exact"/>
        <w:ind w:firstLine="482" w:firstLineChars="200"/>
        <w:rPr>
          <w:rFonts w:hint="eastAsia" w:ascii="宋体" w:hAnsi="宋体" w:cs="宋体"/>
          <w:b/>
          <w:bCs/>
          <w:sz w:val="24"/>
        </w:rPr>
      </w:pPr>
    </w:p>
    <w:p>
      <w:pPr>
        <w:spacing w:line="560" w:lineRule="exact"/>
        <w:ind w:firstLine="482" w:firstLineChars="200"/>
        <w:rPr>
          <w:rFonts w:ascii="宋体" w:hAnsi="宋体" w:cs="宋体"/>
          <w:b/>
          <w:bCs/>
          <w:sz w:val="44"/>
          <w:szCs w:val="44"/>
        </w:rPr>
      </w:pPr>
      <w:r>
        <w:rPr>
          <w:rFonts w:hint="eastAsia" w:ascii="宋体" w:hAnsi="宋体" w:cs="宋体"/>
          <w:b/>
          <w:bCs/>
          <w:sz w:val="24"/>
        </w:rPr>
        <w:t xml:space="preserve">                  </w:t>
      </w:r>
      <w:r>
        <w:rPr>
          <w:rFonts w:hint="eastAsia" w:ascii="宋体" w:hAnsi="宋体" w:cs="宋体"/>
          <w:b/>
          <w:bCs/>
          <w:sz w:val="44"/>
          <w:szCs w:val="44"/>
        </w:rPr>
        <w:t>第三部分  评审标准</w:t>
      </w:r>
    </w:p>
    <w:p>
      <w:pPr>
        <w:adjustRightInd w:val="0"/>
        <w:snapToGrid w:val="0"/>
        <w:spacing w:line="560" w:lineRule="exact"/>
        <w:rPr>
          <w:rFonts w:ascii="宋体" w:hAnsi="宋体" w:cs="宋体"/>
          <w:b/>
          <w:bCs/>
          <w:sz w:val="24"/>
        </w:rPr>
      </w:pPr>
    </w:p>
    <w:p>
      <w:pPr>
        <w:pStyle w:val="31"/>
        <w:spacing w:line="560" w:lineRule="exact"/>
        <w:ind w:firstLine="480" w:firstLineChars="200"/>
        <w:rPr>
          <w:rFonts w:ascii="宋体" w:hAnsi="宋体" w:cs="宋体"/>
          <w:sz w:val="24"/>
        </w:rPr>
      </w:pPr>
      <w:r>
        <w:rPr>
          <w:rFonts w:hint="eastAsia" w:ascii="宋体" w:hAnsi="宋体" w:cs="宋体"/>
          <w:sz w:val="24"/>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二、评审标准为：资格评审+综合评审，共2个环节，评标委员会先进行资格评审，再进行综合评审。只有评审结论为“通过”的参评供应商才能进入综合评审。</w:t>
      </w:r>
    </w:p>
    <w:p>
      <w:pPr>
        <w:pStyle w:val="31"/>
        <w:spacing w:line="560" w:lineRule="exact"/>
        <w:ind w:firstLine="480" w:firstLineChars="200"/>
        <w:rPr>
          <w:rFonts w:ascii="宋体" w:hAnsi="宋体" w:cs="宋体"/>
          <w:sz w:val="24"/>
        </w:rPr>
      </w:pPr>
      <w:r>
        <w:rPr>
          <w:rFonts w:hint="eastAsia" w:ascii="宋体" w:hAnsi="宋体" w:cs="宋体"/>
          <w:sz w:val="24"/>
        </w:rPr>
        <w:t>三、资格评审环节由评标委员会全体成员共同评定，对照《资格评审表》和供应商提交的参评文件，采取“一票否决”。</w:t>
      </w:r>
    </w:p>
    <w:p>
      <w:pPr>
        <w:widowControl/>
        <w:spacing w:line="360" w:lineRule="auto"/>
        <w:ind w:firstLine="480" w:firstLineChars="200"/>
        <w:jc w:val="left"/>
        <w:rPr>
          <w:rFonts w:ascii="宋体" w:hAnsi="宋体" w:cs="宋体"/>
          <w:b/>
          <w:bCs/>
          <w:szCs w:val="21"/>
        </w:rPr>
      </w:pPr>
      <w:r>
        <w:rPr>
          <w:rFonts w:hint="eastAsia" w:ascii="宋体" w:hAnsi="宋体" w:cs="宋体"/>
          <w:sz w:val="24"/>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技术商务评分</w:t>
            </w:r>
          </w:p>
        </w:tc>
        <w:tc>
          <w:tcPr>
            <w:tcW w:w="2536"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lang w:val="en-US" w:eastAsia="zh-CN"/>
              </w:rPr>
              <w:t>70</w:t>
            </w:r>
            <w:r>
              <w:rPr>
                <w:rFonts w:hint="eastAsia" w:ascii="宋体" w:hAnsi="宋体" w:cs="宋体"/>
                <w:b/>
                <w:bCs/>
                <w:szCs w:val="21"/>
              </w:rPr>
              <w:t>分</w:t>
            </w:r>
          </w:p>
        </w:tc>
        <w:tc>
          <w:tcPr>
            <w:tcW w:w="2536"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lang w:val="en-US" w:eastAsia="zh-CN"/>
              </w:rPr>
              <w:t>30</w:t>
            </w:r>
            <w:r>
              <w:rPr>
                <w:rFonts w:hint="eastAsia" w:ascii="宋体" w:hAnsi="宋体" w:cs="宋体"/>
                <w:b/>
                <w:bCs/>
                <w:szCs w:val="21"/>
              </w:rPr>
              <w:t>分</w:t>
            </w:r>
          </w:p>
        </w:tc>
      </w:tr>
    </w:tbl>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五、综合评审方法</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价格评分：对通过符合性审查的参评单位各个标的进行价格评分，将评标委员会校核后的各个标的价格定义为评标价格。取各评标价格的算术平均值为基准价格。当参评单位的评标价格等于基准价格时为满分</w:t>
      </w:r>
      <w:r>
        <w:rPr>
          <w:rFonts w:hint="eastAsia" w:ascii="宋体" w:hAnsi="宋体" w:cs="宋体"/>
          <w:sz w:val="24"/>
          <w:lang w:val="en-US" w:eastAsia="zh-CN"/>
        </w:rPr>
        <w:t>30</w:t>
      </w:r>
      <w:r>
        <w:rPr>
          <w:rFonts w:hint="eastAsia" w:ascii="宋体" w:hAnsi="宋体" w:cs="宋体"/>
          <w:sz w:val="24"/>
        </w:rPr>
        <w:t>分，高于基准价格的评标价格则按其比例，每高于基准价格的1％减1分，低于基准价格的评标价格也按其比例，每低于基准价格的1％减0.5分，如此类推，扣至0分止。算出所有参评单位的价格评分。分数精确到小数点后2位。</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（三）根据技术商务及价格的综合评分，计算各参评单位的总得分。按得分从高到低排名（得分相同时，报价低者优先）。</w:t>
      </w:r>
    </w:p>
    <w:p>
      <w:pPr>
        <w:pStyle w:val="31"/>
        <w:widowControl/>
        <w:spacing w:line="560" w:lineRule="exact"/>
        <w:ind w:firstLine="480" w:firstLineChars="200"/>
        <w:rPr>
          <w:rFonts w:ascii="宋体" w:hAnsi="宋体" w:cs="宋体"/>
          <w:sz w:val="24"/>
        </w:rPr>
      </w:pPr>
      <w:r>
        <w:rPr>
          <w:rFonts w:hint="eastAsia" w:ascii="宋体" w:hAnsi="宋体" w:cs="宋体"/>
          <w:sz w:val="24"/>
        </w:rPr>
        <w:t>六、评审结果</w:t>
      </w:r>
    </w:p>
    <w:p>
      <w:pPr>
        <w:pStyle w:val="31"/>
        <w:spacing w:line="560" w:lineRule="exact"/>
        <w:ind w:firstLine="480" w:firstLineChars="200"/>
        <w:rPr>
          <w:rFonts w:ascii="宋体" w:hAnsi="宋体" w:cs="宋体"/>
          <w:sz w:val="24"/>
        </w:rPr>
      </w:pPr>
      <w:r>
        <w:rPr>
          <w:rFonts w:hint="eastAsia" w:ascii="宋体" w:hAnsi="宋体" w:cs="宋体"/>
          <w:sz w:val="24"/>
        </w:rPr>
        <w:t>根据综合评审得分，得分最高的参评供应商为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《评选结果通知书》，并</w:t>
      </w:r>
      <w:r>
        <w:rPr>
          <w:rFonts w:hint="eastAsia" w:ascii="宋体" w:hAnsi="宋体" w:cs="宋体"/>
          <w:sz w:val="24"/>
        </w:rPr>
        <w:t>确认意向。如第一中选候选人因故不能履约的，采购人可以确定第二中选候选人为中选供应商，以此类推。</w:t>
      </w:r>
    </w:p>
    <w:p>
      <w:pPr>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rPr>
        <w:t>七、资格评审表</w:t>
      </w:r>
    </w:p>
    <w:p>
      <w:pPr>
        <w:pStyle w:val="44"/>
        <w:spacing w:line="240" w:lineRule="auto"/>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adjustRightInd w:val="0"/>
        <w:snapToGrid w:val="0"/>
        <w:jc w:val="center"/>
        <w:rPr>
          <w:rFonts w:ascii="宋体" w:hAnsi="宋体" w:cs="宋体"/>
          <w:b/>
          <w:bCs/>
          <w:sz w:val="44"/>
          <w:szCs w:val="44"/>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r>
              <w:rPr>
                <w:rFonts w:hint="eastAsia"/>
              </w:rPr>
              <w:t>具有独立承担民事责任能力的在中华人民共和国境内注册的企业法人或其他社会组织，提供营业执照等。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r>
              <w:rPr>
                <w:rFonts w:hint="eastAsia"/>
              </w:rPr>
              <w:t>供应商的企业经营范围需包含</w:t>
            </w:r>
            <w:r>
              <w:rPr>
                <w:rFonts w:hint="eastAsia" w:ascii="Times New Roman" w:hAnsi="Times New Roman" w:eastAsia="宋体" w:cs="Times New Roman"/>
                <w:lang w:val="en-US" w:eastAsia="zh-CN"/>
              </w:rPr>
              <w:t>软件</w:t>
            </w:r>
            <w:r>
              <w:rPr>
                <w:rFonts w:hint="eastAsia" w:ascii="Times New Roman" w:hAnsi="Times New Roman" w:eastAsia="宋体" w:cs="Times New Roman"/>
              </w:rPr>
              <w:t>或</w:t>
            </w:r>
            <w:r>
              <w:rPr>
                <w:rFonts w:hint="eastAsia" w:ascii="Times New Roman" w:hAnsi="Times New Roman" w:eastAsia="宋体" w:cs="Times New Roman"/>
                <w:lang w:val="en-US" w:eastAsia="zh-CN"/>
              </w:rPr>
              <w:t>互联网应用</w:t>
            </w:r>
            <w:r>
              <w:rPr>
                <w:rFonts w:hint="eastAsia" w:ascii="Times New Roman" w:hAnsi="Times New Roman" w:eastAsia="宋体" w:cs="Times New Roman"/>
              </w:rPr>
              <w:t>等</w:t>
            </w:r>
            <w:r>
              <w:rPr>
                <w:rFonts w:hint="eastAsia" w:ascii="Times New Roman" w:hAnsi="Times New Roman" w:eastAsia="宋体" w:cs="Times New Roman"/>
                <w:lang w:val="en-US" w:eastAsia="zh-CN"/>
              </w:rPr>
              <w:t>互联网方面经营许可或</w:t>
            </w:r>
            <w:r>
              <w:rPr>
                <w:rFonts w:hint="eastAsia" w:ascii="Times New Roman" w:hAnsi="Times New Roman" w:eastAsia="宋体" w:cs="Times New Roman"/>
              </w:rPr>
              <w:t>资质</w:t>
            </w:r>
            <w:r>
              <w:rPr>
                <w:rFonts w:hint="eastAsia"/>
              </w:rPr>
              <w:t>。（提供企业营业执照或市场监管部门的查询截图作为证明材料）</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r>
              <w:rPr>
                <w:rFonts w:hint="eastAsia"/>
              </w:rPr>
              <w:t>供应商承诺不得以任何方式转包或分包本项目。</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ascii="宋体" w:hAnsi="宋体" w:cs="宋体"/>
                <w:sz w:val="24"/>
              </w:rPr>
              <w:t>4</w:t>
            </w:r>
          </w:p>
        </w:tc>
        <w:tc>
          <w:tcPr>
            <w:tcW w:w="5758" w:type="dxa"/>
            <w:vAlign w:val="center"/>
          </w:tcPr>
          <w:p>
            <w:r>
              <w:rPr>
                <w:rFonts w:hint="eastAsia"/>
              </w:rPr>
              <w:t>参评供应商满足本项目的主要需求，填写《需求响应表》并全部完全响应，无负偏离。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5</w:t>
            </w:r>
          </w:p>
        </w:tc>
        <w:tc>
          <w:tcPr>
            <w:tcW w:w="5758" w:type="dxa"/>
            <w:vAlign w:val="center"/>
          </w:tcPr>
          <w:p>
            <w:r>
              <w:rPr>
                <w:rFonts w:hint="eastAsia"/>
              </w:rPr>
              <w:t>非联合体潜在供应商参评报价。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6</w:t>
            </w:r>
          </w:p>
        </w:tc>
        <w:tc>
          <w:tcPr>
            <w:tcW w:w="5758" w:type="dxa"/>
            <w:vAlign w:val="center"/>
          </w:tcPr>
          <w:p>
            <w:r>
              <w:rPr>
                <w:rFonts w:hint="eastAsia"/>
              </w:rPr>
              <w:t>报价为唯一固定价且未超过报价限价。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jc w:val="center"/>
            </w:pPr>
            <w:r>
              <w:rPr>
                <w:rFonts w:hint="eastAsia" w:ascii="宋体" w:hAnsi="宋体" w:cs="宋体"/>
                <w:sz w:val="24"/>
              </w:rPr>
              <w:t>评审结论</w:t>
            </w:r>
          </w:p>
        </w:tc>
        <w:tc>
          <w:tcPr>
            <w:tcW w:w="1022" w:type="dxa"/>
            <w:vAlign w:val="center"/>
          </w:tcPr>
          <w:p>
            <w:pPr>
              <w:rPr>
                <w:rFonts w:ascii="宋体" w:hAnsi="宋体" w:cs="宋体"/>
                <w:sz w:val="24"/>
              </w:rPr>
            </w:pPr>
          </w:p>
        </w:tc>
        <w:tc>
          <w:tcPr>
            <w:tcW w:w="1046" w:type="dxa"/>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1．评标委员会对参评供应商是否满足要求逐条标注评审意见，符合的打“〇”，不符合的打“×”；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3．评审结论为“通过”的，方可参与下一阶段的评审。</w:t>
      </w:r>
    </w:p>
    <w:p>
      <w:pPr>
        <w:spacing w:line="560" w:lineRule="exact"/>
        <w:rPr>
          <w:rFonts w:ascii="宋体" w:hAnsi="宋体" w:cs="宋体"/>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pPr>
        <w:rPr>
          <w:rFonts w:ascii="宋体" w:hAnsi="宋体" w:cs="宋体"/>
          <w:sz w:val="24"/>
        </w:rPr>
      </w:pPr>
    </w:p>
    <w:p>
      <w:pPr>
        <w:rPr>
          <w:rFonts w:ascii="宋体" w:hAnsi="宋体" w:cs="宋体"/>
          <w:sz w:val="24"/>
        </w:rPr>
      </w:pPr>
    </w:p>
    <w:p>
      <w:pPr>
        <w:rPr>
          <w:rFonts w:ascii="宋体" w:hAnsi="宋体" w:cs="宋体"/>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r>
        <w:rPr>
          <w:rFonts w:hint="eastAsia" w:ascii="宋体" w:hAnsi="宋体" w:cs="宋体"/>
          <w:sz w:val="24"/>
        </w:rPr>
        <w:t>八、技术商务评分表</w:t>
      </w:r>
    </w:p>
    <w:p>
      <w:pPr>
        <w:jc w:val="center"/>
        <w:rPr>
          <w:rFonts w:ascii="宋体" w:hAnsi="宋体" w:cs="宋体"/>
          <w:b/>
          <w:bCs/>
          <w:sz w:val="44"/>
          <w:szCs w:val="44"/>
        </w:rPr>
      </w:pPr>
    </w:p>
    <w:p>
      <w:pPr>
        <w:jc w:val="center"/>
        <w:rPr>
          <w:rFonts w:ascii="宋体" w:hAnsi="宋体"/>
          <w:b/>
          <w:sz w:val="32"/>
          <w:szCs w:val="32"/>
        </w:rPr>
      </w:pPr>
      <w:r>
        <w:rPr>
          <w:rFonts w:hint="eastAsia" w:ascii="宋体" w:hAnsi="宋体" w:cs="宋体"/>
          <w:b/>
          <w:bCs/>
          <w:sz w:val="44"/>
          <w:szCs w:val="44"/>
        </w:rPr>
        <w:t>技术商务评分表</w:t>
      </w:r>
    </w:p>
    <w:p>
      <w:pPr>
        <w:jc w:val="center"/>
        <w:rPr>
          <w:rFonts w:ascii="宋体" w:hAnsi="宋体"/>
          <w:b/>
          <w:sz w:val="32"/>
          <w:szCs w:val="32"/>
        </w:rPr>
      </w:pPr>
    </w:p>
    <w:p>
      <w:pPr>
        <w:rPr>
          <w:rFonts w:ascii="宋体" w:hAnsi="宋体" w:cs="宋体"/>
          <w:szCs w:val="21"/>
        </w:rPr>
      </w:pPr>
      <w:r>
        <w:rPr>
          <w:rFonts w:hint="eastAsia" w:ascii="宋体" w:hAnsi="宋体" w:cs="宋体"/>
          <w:szCs w:val="21"/>
        </w:rPr>
        <w:t xml:space="preserve"> 项目名称：</w:t>
      </w:r>
      <w:r>
        <w:rPr>
          <w:rFonts w:hint="eastAsia" w:ascii="宋体" w:hAnsi="宋体" w:eastAsia="宋体" w:cs="宋体"/>
          <w:szCs w:val="21"/>
          <w:lang w:val="en-US" w:eastAsia="zh-CN"/>
        </w:rPr>
        <w:t>响应式公交平台两年期服务采购</w:t>
      </w:r>
      <w:r>
        <w:rPr>
          <w:rFonts w:hint="eastAsia" w:ascii="宋体" w:hAnsi="宋体" w:eastAsia="宋体" w:cs="宋体"/>
          <w:szCs w:val="21"/>
        </w:rPr>
        <w:t>项目</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71"/>
        <w:gridCol w:w="705"/>
        <w:gridCol w:w="461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771"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评审项目</w:t>
            </w:r>
          </w:p>
        </w:tc>
        <w:tc>
          <w:tcPr>
            <w:tcW w:w="705"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分配分数</w:t>
            </w:r>
          </w:p>
        </w:tc>
        <w:tc>
          <w:tcPr>
            <w:tcW w:w="461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rPr>
            </w:pPr>
          </w:p>
        </w:tc>
        <w:tc>
          <w:tcPr>
            <w:tcW w:w="771"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705"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461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rPr>
            </w:pPr>
            <w:r>
              <w:rPr>
                <w:rFonts w:hint="eastAsia" w:ascii="宋体" w:hAnsi="宋体" w:cs="宋体"/>
                <w:b/>
                <w:bCs/>
                <w:szCs w:val="21"/>
              </w:rPr>
              <w:t>供应商C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考察研究能力</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461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r>
              <w:rPr>
                <w:rFonts w:hint="eastAsia" w:ascii="宋体" w:hAnsi="宋体" w:cs="宋体"/>
                <w:szCs w:val="21"/>
              </w:rPr>
              <w:t>根据参评供应商的提供的具体考察研究能力资料：</w:t>
            </w:r>
          </w:p>
          <w:p>
            <w:pPr>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供应商具有可服务于城市公交运营项目的相关知识产权（含发明专利、软件著作权等），包含但不限于城市定制客运、公交运营、公交数据处理及预测范围、公交大数据分析等，每提供一项得3分，最高得12分。</w:t>
            </w:r>
          </w:p>
          <w:p>
            <w:pPr>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项目团队成员中获得</w:t>
            </w:r>
            <w:r>
              <w:rPr>
                <w:rFonts w:hint="eastAsia" w:ascii="宋体" w:hAnsi="宋体" w:cs="宋体"/>
                <w:sz w:val="21"/>
                <w:szCs w:val="21"/>
              </w:rPr>
              <w:t>通过国家计算机技术与软件专业技术资格(水平)考试的证书，包括但不限于高级信息系统项目管理师证书、高级系统分析师证书、高级系统架构设计师等</w:t>
            </w:r>
            <w:r>
              <w:rPr>
                <w:rFonts w:hint="eastAsia" w:ascii="宋体" w:hAnsi="宋体" w:cs="宋体"/>
                <w:sz w:val="21"/>
                <w:szCs w:val="21"/>
                <w:lang w:eastAsia="zh-CN"/>
              </w:rPr>
              <w:t>，</w:t>
            </w:r>
            <w:r>
              <w:rPr>
                <w:rFonts w:hint="eastAsia" w:ascii="宋体" w:hAnsi="宋体" w:cs="宋体"/>
                <w:sz w:val="21"/>
                <w:szCs w:val="21"/>
                <w:lang w:val="en-US" w:eastAsia="zh-CN"/>
              </w:rPr>
              <w:t>每人</w:t>
            </w:r>
            <w:r>
              <w:rPr>
                <w:rFonts w:hint="eastAsia" w:ascii="宋体" w:hAnsi="宋体" w:cs="宋体"/>
                <w:szCs w:val="21"/>
              </w:rPr>
              <w:t>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最高得</w:t>
            </w:r>
            <w:r>
              <w:rPr>
                <w:rFonts w:hint="eastAsia" w:ascii="宋体" w:hAnsi="宋体" w:cs="宋体"/>
                <w:szCs w:val="21"/>
                <w:lang w:val="en-US" w:eastAsia="zh-CN"/>
              </w:rPr>
              <w:t>8</w:t>
            </w:r>
            <w:r>
              <w:rPr>
                <w:rFonts w:hint="eastAsia" w:ascii="宋体" w:hAnsi="宋体" w:cs="宋体"/>
                <w:szCs w:val="21"/>
              </w:rPr>
              <w:t>分。</w:t>
            </w:r>
          </w:p>
          <w:p>
            <w:pPr>
              <w:jc w:val="left"/>
              <w:rPr>
                <w:rFonts w:hint="default" w:ascii="宋体" w:hAnsi="宋体" w:cs="宋体"/>
                <w:szCs w:val="21"/>
                <w:lang w:val="en-US"/>
              </w:rPr>
            </w:pPr>
            <w:r>
              <w:rPr>
                <w:rFonts w:hint="eastAsia" w:ascii="宋体" w:hAnsi="宋体" w:cs="宋体"/>
                <w:szCs w:val="21"/>
              </w:rPr>
              <w:t>评分</w:t>
            </w:r>
            <w:r>
              <w:rPr>
                <w:rFonts w:ascii="宋体" w:hAnsi="宋体" w:cs="宋体"/>
                <w:szCs w:val="21"/>
              </w:rPr>
              <w:t>依据：</w:t>
            </w:r>
            <w:r>
              <w:rPr>
                <w:rFonts w:hint="eastAsia" w:ascii="宋体" w:hAnsi="宋体" w:cs="宋体"/>
                <w:szCs w:val="21"/>
                <w:lang w:val="en-US" w:eastAsia="zh-CN"/>
              </w:rPr>
              <w:t>需提供相关证书复印件。</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业绩经验</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4612" w:type="dxa"/>
            <w:tcBorders>
              <w:top w:val="single" w:color="auto" w:sz="6" w:space="0"/>
              <w:left w:val="single" w:color="auto" w:sz="6" w:space="0"/>
              <w:bottom w:val="single" w:color="auto" w:sz="6" w:space="0"/>
              <w:right w:val="single" w:color="auto" w:sz="6" w:space="0"/>
            </w:tcBorders>
            <w:vAlign w:val="center"/>
          </w:tcPr>
          <w:p>
            <w:pPr>
              <w:numPr>
                <w:ilvl w:val="-1"/>
                <w:numId w:val="0"/>
              </w:numPr>
              <w:snapToGrid/>
              <w:jc w:val="left"/>
              <w:rPr>
                <w:rFonts w:hint="eastAsia"/>
              </w:rPr>
            </w:pPr>
            <w:r>
              <w:rPr>
                <w:rFonts w:hint="eastAsia"/>
                <w:lang w:val="en-US" w:eastAsia="zh-CN"/>
              </w:rPr>
              <w:t>1.</w:t>
            </w:r>
            <w:r>
              <w:rPr>
                <w:rFonts w:hint="eastAsia"/>
              </w:rPr>
              <w:t>供应商具备公交、客运类项目的调查研究分析能力。供应商近五年（采购公告发布当日往前顺推五年）承担过政府</w:t>
            </w:r>
            <w:r>
              <w:rPr>
                <w:rFonts w:hint="eastAsia"/>
                <w:lang w:val="en-US" w:eastAsia="zh-CN"/>
              </w:rPr>
              <w:t>机关</w:t>
            </w:r>
            <w:r>
              <w:rPr>
                <w:rFonts w:hint="eastAsia"/>
              </w:rPr>
              <w:t>部门</w:t>
            </w:r>
            <w:r>
              <w:rPr>
                <w:rFonts w:hint="eastAsia"/>
                <w:lang w:val="en-US" w:eastAsia="zh-CN"/>
              </w:rPr>
              <w:t>或国有企业</w:t>
            </w:r>
            <w:r>
              <w:rPr>
                <w:rFonts w:hint="eastAsia"/>
              </w:rPr>
              <w:t>委托的城市客运公交发展研究、交通出行大数据分析类、公交调查分析类等项目的，每个得2分，最高</w:t>
            </w:r>
            <w:r>
              <w:rPr>
                <w:rFonts w:hint="eastAsia"/>
                <w:lang w:val="en-US" w:eastAsia="zh-CN"/>
              </w:rPr>
              <w:t>得</w:t>
            </w:r>
            <w:r>
              <w:rPr>
                <w:rFonts w:hint="eastAsia"/>
              </w:rPr>
              <w:t>1</w:t>
            </w:r>
            <w:r>
              <w:rPr>
                <w:rFonts w:hint="eastAsia"/>
                <w:lang w:val="en-US" w:eastAsia="zh-CN"/>
              </w:rPr>
              <w:t>0</w:t>
            </w:r>
            <w:r>
              <w:rPr>
                <w:rFonts w:hint="eastAsia"/>
              </w:rPr>
              <w:t>分。</w:t>
            </w:r>
          </w:p>
          <w:p>
            <w:pPr>
              <w:numPr>
                <w:ilvl w:val="-1"/>
                <w:numId w:val="0"/>
              </w:numPr>
              <w:snapToGrid/>
              <w:jc w:val="left"/>
              <w:rPr>
                <w:rFonts w:hint="eastAsia"/>
                <w:lang w:val="en-US" w:eastAsia="zh-CN"/>
              </w:rPr>
            </w:pPr>
            <w:r>
              <w:rPr>
                <w:rFonts w:hint="eastAsia"/>
                <w:lang w:val="en-US" w:eastAsia="zh-CN"/>
              </w:rPr>
              <w:t xml:space="preserve">2.供应商具备公交、客运行业运营实操经验与能力。供应商近五年（采购公告发布当日往前顺推五年）有开展过交通运输载客运营案例，包括且不限于定制包车、定制公交、网约公交等，有运营经验的每个得2分，最高得10分。 </w:t>
            </w:r>
          </w:p>
          <w:p>
            <w:pPr>
              <w:jc w:val="left"/>
              <w:rPr>
                <w:rFonts w:hint="default"/>
                <w:lang w:val="en-US" w:eastAsia="zh-CN"/>
              </w:rPr>
            </w:pPr>
            <w:r>
              <w:rPr>
                <w:rFonts w:hint="eastAsia" w:ascii="宋体" w:hAnsi="宋体" w:cs="宋体"/>
                <w:szCs w:val="21"/>
              </w:rPr>
              <w:t>评分</w:t>
            </w:r>
            <w:r>
              <w:rPr>
                <w:rFonts w:ascii="宋体" w:hAnsi="宋体" w:cs="宋体"/>
                <w:szCs w:val="21"/>
              </w:rPr>
              <w:t>依据：</w:t>
            </w:r>
            <w:r>
              <w:rPr>
                <w:rFonts w:hint="eastAsia" w:ascii="宋体" w:hAnsi="宋体" w:cs="宋体"/>
                <w:szCs w:val="21"/>
                <w:lang w:val="en-US" w:eastAsia="zh-CN"/>
              </w:rPr>
              <w:t>需</w:t>
            </w:r>
            <w:r>
              <w:rPr>
                <w:rFonts w:hint="eastAsia"/>
                <w:lang w:val="en-US" w:eastAsia="zh-CN"/>
              </w:rPr>
              <w:t>提供合作协议或服务合同或验收报告关键页复印件。</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851" w:type="dxa"/>
            <w:tcBorders>
              <w:top w:val="single" w:color="auto" w:sz="6" w:space="0"/>
              <w:left w:val="double" w:color="auto" w:sz="2"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right w:val="single" w:color="auto" w:sz="6" w:space="0"/>
            </w:tcBorders>
            <w:vAlign w:val="center"/>
          </w:tcPr>
          <w:p>
            <w:pPr>
              <w:pStyle w:val="29"/>
              <w:snapToGrid w:val="0"/>
              <w:jc w:val="center"/>
              <w:rPr>
                <w:rFonts w:hint="eastAsia" w:ascii="宋体" w:hAnsi="宋体" w:cs="宋体"/>
                <w:sz w:val="21"/>
                <w:szCs w:val="21"/>
                <w:lang w:val="en-US" w:eastAsia="zh-CN"/>
              </w:rPr>
            </w:pPr>
            <w:r>
              <w:rPr>
                <w:rFonts w:hint="eastAsia" w:ascii="宋体" w:hAnsi="宋体" w:cs="宋体"/>
                <w:sz w:val="21"/>
                <w:szCs w:val="21"/>
                <w:lang w:val="en-US" w:eastAsia="zh-CN"/>
              </w:rPr>
              <w:t>产品功能及特色</w:t>
            </w:r>
          </w:p>
          <w:p>
            <w:pPr>
              <w:snapToGrid w:val="0"/>
              <w:jc w:val="center"/>
              <w:rPr>
                <w:rFonts w:hint="default" w:ascii="宋体" w:hAnsi="宋体" w:eastAsia="宋体" w:cs="宋体"/>
                <w:szCs w:val="21"/>
                <w:lang w:val="en-US" w:eastAsia="zh-CN"/>
              </w:rPr>
            </w:pPr>
          </w:p>
        </w:tc>
        <w:tc>
          <w:tcPr>
            <w:tcW w:w="705" w:type="dxa"/>
            <w:tcBorders>
              <w:top w:val="single" w:color="auto" w:sz="6" w:space="0"/>
              <w:left w:val="single" w:color="auto" w:sz="6" w:space="0"/>
              <w:right w:val="single" w:color="auto" w:sz="6" w:space="0"/>
            </w:tcBorders>
            <w:vAlign w:val="center"/>
          </w:tcPr>
          <w:p>
            <w:pPr>
              <w:snapToGrid w:val="0"/>
              <w:jc w:val="center"/>
              <w:rPr>
                <w:rFonts w:hint="eastAsia" w:ascii="宋体" w:hAnsi="宋体" w:cs="宋体"/>
                <w:szCs w:val="21"/>
                <w:lang w:val="en-US" w:eastAsia="zh-CN"/>
              </w:rPr>
            </w:pPr>
            <w:r>
              <w:rPr>
                <w:rFonts w:hint="eastAsia" w:ascii="宋体" w:hAnsi="宋体" w:cs="宋体"/>
                <w:szCs w:val="21"/>
                <w:lang w:val="en-US" w:eastAsia="zh-CN"/>
              </w:rPr>
              <w:t>15</w:t>
            </w:r>
          </w:p>
          <w:p>
            <w:pPr>
              <w:snapToGrid w:val="0"/>
              <w:jc w:val="center"/>
              <w:rPr>
                <w:rFonts w:ascii="宋体" w:hAnsi="宋体" w:cs="宋体"/>
                <w:szCs w:val="21"/>
              </w:rPr>
            </w:pPr>
          </w:p>
        </w:tc>
        <w:tc>
          <w:tcPr>
            <w:tcW w:w="4612" w:type="dxa"/>
            <w:tcBorders>
              <w:top w:val="single" w:color="auto" w:sz="6" w:space="0"/>
              <w:left w:val="single" w:color="auto" w:sz="6" w:space="0"/>
              <w:right w:val="single" w:color="auto" w:sz="6" w:space="0"/>
            </w:tcBorders>
            <w:vAlign w:val="center"/>
          </w:tcPr>
          <w:p>
            <w:pPr>
              <w:snapToGrid w:val="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乘客端可</w:t>
            </w:r>
            <w:r>
              <w:rPr>
                <w:rFonts w:hint="eastAsia" w:ascii="宋体" w:hAnsi="宋体" w:cs="宋体"/>
                <w:szCs w:val="21"/>
                <w:lang w:val="en-US" w:eastAsia="zh-CN"/>
              </w:rPr>
              <w:t>提供</w:t>
            </w:r>
            <w:r>
              <w:rPr>
                <w:rFonts w:hint="eastAsia" w:ascii="宋体" w:hAnsi="宋体" w:cs="宋体"/>
                <w:szCs w:val="21"/>
              </w:rPr>
              <w:t>面向老年群体服务的一键叫车快捷下单功能，此项得</w:t>
            </w:r>
            <w:r>
              <w:rPr>
                <w:rFonts w:hint="eastAsia" w:ascii="宋体" w:hAnsi="宋体" w:cs="宋体"/>
                <w:szCs w:val="21"/>
                <w:lang w:val="en-US" w:eastAsia="zh-CN"/>
              </w:rPr>
              <w:t>3</w:t>
            </w:r>
            <w:r>
              <w:rPr>
                <w:rFonts w:hint="eastAsia" w:ascii="宋体" w:hAnsi="宋体" w:cs="宋体"/>
                <w:szCs w:val="21"/>
              </w:rPr>
              <w:t>分，不满足</w:t>
            </w:r>
            <w:r>
              <w:rPr>
                <w:rFonts w:hint="eastAsia" w:ascii="宋体" w:hAnsi="宋体" w:cs="宋体"/>
                <w:szCs w:val="21"/>
                <w:lang w:val="en-US" w:eastAsia="zh-CN"/>
              </w:rPr>
              <w:t>的</w:t>
            </w:r>
            <w:r>
              <w:rPr>
                <w:rFonts w:hint="eastAsia" w:ascii="宋体" w:hAnsi="宋体" w:cs="宋体"/>
                <w:szCs w:val="21"/>
              </w:rPr>
              <w:t>不得分。</w:t>
            </w:r>
          </w:p>
          <w:p>
            <w:pPr>
              <w:snapToGrid w:val="0"/>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乘客端可提供多人团</w:t>
            </w:r>
            <w:r>
              <w:rPr>
                <w:rFonts w:hint="eastAsia" w:ascii="宋体" w:hAnsi="宋体" w:cs="宋体"/>
                <w:szCs w:val="21"/>
                <w:lang w:val="en-US" w:eastAsia="zh-CN"/>
              </w:rPr>
              <w:t>队</w:t>
            </w:r>
            <w:r>
              <w:rPr>
                <w:rFonts w:hint="eastAsia" w:ascii="宋体" w:hAnsi="宋体" w:cs="宋体"/>
                <w:szCs w:val="21"/>
              </w:rPr>
              <w:t>下单功能，此项得</w:t>
            </w:r>
            <w:r>
              <w:rPr>
                <w:rFonts w:hint="eastAsia" w:ascii="宋体" w:hAnsi="宋体" w:cs="宋体"/>
                <w:szCs w:val="21"/>
                <w:lang w:val="en-US" w:eastAsia="zh-CN"/>
              </w:rPr>
              <w:t>3</w:t>
            </w:r>
            <w:r>
              <w:rPr>
                <w:rFonts w:hint="eastAsia" w:ascii="宋体" w:hAnsi="宋体" w:cs="宋体"/>
                <w:szCs w:val="21"/>
              </w:rPr>
              <w:t>分，不满足</w:t>
            </w:r>
            <w:r>
              <w:rPr>
                <w:rFonts w:hint="eastAsia" w:ascii="宋体" w:hAnsi="宋体" w:cs="宋体"/>
                <w:szCs w:val="21"/>
                <w:lang w:val="en-US" w:eastAsia="zh-CN"/>
              </w:rPr>
              <w:t>的</w:t>
            </w:r>
            <w:r>
              <w:rPr>
                <w:rFonts w:hint="eastAsia" w:ascii="宋体" w:hAnsi="宋体" w:cs="宋体"/>
                <w:szCs w:val="21"/>
              </w:rPr>
              <w:t>不得分。</w:t>
            </w:r>
          </w:p>
          <w:p>
            <w:pPr>
              <w:snapToGrid w:val="0"/>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管理后台端支持设置</w:t>
            </w:r>
            <w:r>
              <w:rPr>
                <w:rFonts w:hint="eastAsia" w:ascii="宋体" w:hAnsi="宋体" w:cs="宋体"/>
                <w:szCs w:val="21"/>
                <w:lang w:val="en-US" w:eastAsia="zh-CN"/>
              </w:rPr>
              <w:t>运营</w:t>
            </w:r>
            <w:r>
              <w:rPr>
                <w:rFonts w:hint="eastAsia" w:ascii="宋体" w:hAnsi="宋体" w:cs="宋体"/>
                <w:szCs w:val="21"/>
              </w:rPr>
              <w:t>区域</w:t>
            </w:r>
            <w:r>
              <w:rPr>
                <w:rFonts w:hint="eastAsia" w:ascii="宋体" w:hAnsi="宋体" w:cs="宋体"/>
                <w:szCs w:val="21"/>
                <w:lang w:val="en-US" w:eastAsia="zh-CN"/>
              </w:rPr>
              <w:t>特殊站点实施与其他</w:t>
            </w:r>
            <w:r>
              <w:rPr>
                <w:rFonts w:hint="eastAsia" w:ascii="宋体" w:hAnsi="宋体" w:cs="宋体"/>
                <w:szCs w:val="21"/>
              </w:rPr>
              <w:t>站点</w:t>
            </w:r>
            <w:r>
              <w:rPr>
                <w:rFonts w:hint="eastAsia" w:ascii="宋体" w:hAnsi="宋体" w:cs="宋体"/>
                <w:szCs w:val="21"/>
                <w:lang w:val="en-US" w:eastAsia="zh-CN"/>
              </w:rPr>
              <w:t>不同的</w:t>
            </w:r>
            <w:r>
              <w:rPr>
                <w:rFonts w:hint="eastAsia" w:ascii="宋体" w:hAnsi="宋体" w:cs="宋体"/>
                <w:szCs w:val="21"/>
              </w:rPr>
              <w:t>票价，此项全部满足得</w:t>
            </w:r>
            <w:r>
              <w:rPr>
                <w:rFonts w:hint="eastAsia" w:ascii="宋体" w:hAnsi="宋体" w:cs="宋体"/>
                <w:szCs w:val="21"/>
                <w:lang w:val="en-US" w:eastAsia="zh-CN"/>
              </w:rPr>
              <w:t>3</w:t>
            </w:r>
            <w:r>
              <w:rPr>
                <w:rFonts w:hint="eastAsia" w:ascii="宋体" w:hAnsi="宋体" w:cs="宋体"/>
                <w:szCs w:val="21"/>
              </w:rPr>
              <w:t>分，不满足</w:t>
            </w:r>
            <w:r>
              <w:rPr>
                <w:rFonts w:hint="eastAsia" w:ascii="宋体" w:hAnsi="宋体" w:cs="宋体"/>
                <w:szCs w:val="21"/>
                <w:lang w:val="en-US" w:eastAsia="zh-CN"/>
              </w:rPr>
              <w:t>的</w:t>
            </w:r>
            <w:r>
              <w:rPr>
                <w:rFonts w:hint="eastAsia" w:ascii="宋体" w:hAnsi="宋体" w:cs="宋体"/>
                <w:szCs w:val="21"/>
              </w:rPr>
              <w:t>不得分。</w:t>
            </w:r>
          </w:p>
          <w:p>
            <w:pPr>
              <w:snapToGrid w:val="0"/>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管理后台端支持对运营区域订单统计和分析功能，包括总订单量、完成订单量、取消订单量、总客流数、总营收、完成订单平均等待时长、完成订单平均乘车时长等指标，统计功能和指标均满足</w:t>
            </w:r>
            <w:r>
              <w:rPr>
                <w:rFonts w:hint="eastAsia" w:ascii="宋体" w:hAnsi="宋体" w:cs="宋体"/>
                <w:szCs w:val="21"/>
                <w:lang w:val="en-US" w:eastAsia="zh-CN"/>
              </w:rPr>
              <w:t>的</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分，不满足</w:t>
            </w:r>
            <w:r>
              <w:rPr>
                <w:rFonts w:hint="eastAsia" w:ascii="宋体" w:hAnsi="宋体" w:cs="宋体"/>
                <w:szCs w:val="21"/>
                <w:lang w:val="en-US" w:eastAsia="zh-CN"/>
              </w:rPr>
              <w:t>的</w:t>
            </w:r>
            <w:r>
              <w:rPr>
                <w:rFonts w:hint="eastAsia" w:ascii="宋体" w:hAnsi="宋体" w:cs="宋体"/>
                <w:szCs w:val="21"/>
              </w:rPr>
              <w:t>不得分。</w:t>
            </w:r>
          </w:p>
          <w:p>
            <w:pPr>
              <w:snapToGrid w:val="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产品可按中山公交集团定制化命名品牌名称（含品牌名称升级），此项得</w:t>
            </w:r>
            <w:r>
              <w:rPr>
                <w:rFonts w:hint="eastAsia" w:ascii="宋体" w:hAnsi="宋体" w:cs="宋体"/>
                <w:szCs w:val="21"/>
                <w:lang w:val="en-US" w:eastAsia="zh-CN"/>
              </w:rPr>
              <w:t>3</w:t>
            </w:r>
            <w:r>
              <w:rPr>
                <w:rFonts w:hint="eastAsia" w:ascii="宋体" w:hAnsi="宋体" w:cs="宋体"/>
                <w:szCs w:val="21"/>
              </w:rPr>
              <w:t>分，不满足</w:t>
            </w:r>
            <w:r>
              <w:rPr>
                <w:rFonts w:hint="eastAsia" w:ascii="宋体" w:hAnsi="宋体" w:cs="宋体"/>
                <w:szCs w:val="21"/>
                <w:lang w:val="en-US" w:eastAsia="zh-CN"/>
              </w:rPr>
              <w:t>的</w:t>
            </w:r>
            <w:r>
              <w:rPr>
                <w:rFonts w:hint="eastAsia" w:ascii="宋体" w:hAnsi="宋体" w:cs="宋体"/>
                <w:szCs w:val="21"/>
              </w:rPr>
              <w:t>不得分。</w:t>
            </w:r>
          </w:p>
        </w:tc>
        <w:tc>
          <w:tcPr>
            <w:tcW w:w="983" w:type="dxa"/>
            <w:tcBorders>
              <w:top w:val="single" w:color="auto" w:sz="6" w:space="0"/>
              <w:left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771" w:type="dxa"/>
            <w:tcBorders>
              <w:top w:val="single" w:color="auto" w:sz="6" w:space="0"/>
              <w:left w:val="double" w:color="auto" w:sz="2"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产品技术与安全</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default" w:eastAsia="宋体"/>
                <w:lang w:val="en-US" w:eastAsia="zh-CN"/>
              </w:rPr>
            </w:pPr>
            <w:r>
              <w:rPr>
                <w:rFonts w:hint="eastAsia"/>
                <w:lang w:val="en-US" w:eastAsia="zh-CN"/>
              </w:rPr>
              <w:t>通过提交方案概述平台技术、算法先进性，同时概述产品</w:t>
            </w:r>
            <w:r>
              <w:rPr>
                <w:rFonts w:hint="eastAsia"/>
              </w:rPr>
              <w:t>在系统设计、数据和网络安全、系统稳定性、灾备恢复、运营维护保障等方面所采取的具体措施</w:t>
            </w:r>
            <w:r>
              <w:rPr>
                <w:rFonts w:hint="eastAsia"/>
                <w:lang w:eastAsia="zh-CN"/>
              </w:rPr>
              <w:t>。</w:t>
            </w:r>
            <w:r>
              <w:rPr>
                <w:rFonts w:hint="eastAsia"/>
                <w:lang w:val="en-US" w:eastAsia="zh-CN"/>
              </w:rPr>
              <w:t>方案完善的得5-8分、方案较完善的得3-4分、方案不完善的得0-2分，无方案的不得分。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p>
        </w:tc>
        <w:tc>
          <w:tcPr>
            <w:tcW w:w="771" w:type="dxa"/>
            <w:tcBorders>
              <w:top w:val="single" w:color="auto" w:sz="6" w:space="0"/>
              <w:left w:val="double" w:color="auto" w:sz="2" w:space="0"/>
              <w:bottom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产品培训及售后服务</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7</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提供完整的平台功能应用技术支持服务方案，包括</w:t>
            </w:r>
            <w:r>
              <w:rPr>
                <w:rFonts w:hint="eastAsia" w:ascii="宋体" w:hAnsi="宋体" w:cs="宋体"/>
                <w:kern w:val="2"/>
                <w:sz w:val="21"/>
                <w:szCs w:val="21"/>
                <w:lang w:val="en-US" w:eastAsia="zh-CN" w:bidi="ar-SA"/>
              </w:rPr>
              <w:t>产品功能介绍、</w:t>
            </w:r>
            <w:r>
              <w:rPr>
                <w:rFonts w:hint="eastAsia" w:ascii="宋体" w:hAnsi="宋体" w:eastAsia="宋体" w:cs="宋体"/>
                <w:kern w:val="2"/>
                <w:sz w:val="21"/>
                <w:szCs w:val="21"/>
                <w:lang w:val="en-US" w:eastAsia="zh-CN" w:bidi="ar-SA"/>
              </w:rPr>
              <w:t>技术服务人员配备，服务方式、响应时间等内容；</w:t>
            </w:r>
            <w:r>
              <w:rPr>
                <w:rFonts w:hint="eastAsia" w:ascii="宋体" w:hAnsi="宋体" w:cs="宋体"/>
                <w:kern w:val="2"/>
                <w:sz w:val="21"/>
                <w:szCs w:val="21"/>
                <w:lang w:val="en-US" w:eastAsia="zh-CN" w:bidi="ar-SA"/>
              </w:rPr>
              <w:t>方案完善的得3-4</w:t>
            </w:r>
            <w:r>
              <w:rPr>
                <w:rFonts w:hint="eastAsia" w:ascii="宋体" w:hAnsi="宋体" w:eastAsia="宋体" w:cs="宋体"/>
                <w:kern w:val="2"/>
                <w:sz w:val="21"/>
                <w:szCs w:val="21"/>
                <w:lang w:val="en-US" w:eastAsia="zh-CN" w:bidi="ar-SA"/>
              </w:rPr>
              <w:t>分</w:t>
            </w:r>
            <w:r>
              <w:rPr>
                <w:rFonts w:hint="eastAsia" w:ascii="宋体" w:hAnsi="宋体" w:cs="宋体"/>
                <w:kern w:val="2"/>
                <w:sz w:val="21"/>
                <w:szCs w:val="21"/>
                <w:lang w:val="en-US" w:eastAsia="zh-CN" w:bidi="ar-SA"/>
              </w:rPr>
              <w:t>、方案较完善的得1-2分、方案不完善或无方案的不得分</w:t>
            </w:r>
            <w:r>
              <w:rPr>
                <w:rFonts w:hint="eastAsia" w:ascii="宋体" w:hAnsi="宋体" w:eastAsia="宋体" w:cs="宋体"/>
                <w:kern w:val="2"/>
                <w:sz w:val="21"/>
                <w:szCs w:val="21"/>
                <w:lang w:val="en-US" w:eastAsia="zh-CN" w:bidi="ar-SA"/>
              </w:rPr>
              <w:t>。</w:t>
            </w:r>
          </w:p>
          <w:p>
            <w:pPr>
              <w:snapToGrid w:val="0"/>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提供地级以上城市响应公交项目多年稳定运营专家业务方案支持，稳定运营3年以上专家团队</w:t>
            </w:r>
            <w:r>
              <w:rPr>
                <w:rFonts w:hint="eastAsia" w:ascii="宋体" w:hAnsi="宋体" w:cs="宋体"/>
                <w:kern w:val="2"/>
                <w:sz w:val="21"/>
                <w:szCs w:val="21"/>
                <w:lang w:val="en-US" w:eastAsia="zh-CN" w:bidi="ar-SA"/>
              </w:rPr>
              <w:t>的</w:t>
            </w:r>
            <w:r>
              <w:rPr>
                <w:rFonts w:hint="eastAsia" w:ascii="宋体" w:hAnsi="宋体" w:eastAsia="宋体" w:cs="宋体"/>
                <w:kern w:val="2"/>
                <w:sz w:val="21"/>
                <w:szCs w:val="21"/>
                <w:lang w:val="en-US" w:eastAsia="zh-CN" w:bidi="ar-SA"/>
              </w:rPr>
              <w:t>得</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分，</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-3年专家团队</w:t>
            </w:r>
            <w:r>
              <w:rPr>
                <w:rFonts w:hint="eastAsia" w:ascii="宋体" w:hAnsi="宋体" w:cs="宋体"/>
                <w:kern w:val="2"/>
                <w:sz w:val="21"/>
                <w:szCs w:val="21"/>
                <w:lang w:val="en-US" w:eastAsia="zh-CN" w:bidi="ar-SA"/>
              </w:rPr>
              <w:t>的</w:t>
            </w:r>
            <w:r>
              <w:rPr>
                <w:rFonts w:hint="eastAsia" w:ascii="宋体" w:hAnsi="宋体" w:eastAsia="宋体" w:cs="宋体"/>
                <w:kern w:val="2"/>
                <w:sz w:val="21"/>
                <w:szCs w:val="21"/>
                <w:lang w:val="en-US" w:eastAsia="zh-CN" w:bidi="ar-SA"/>
              </w:rPr>
              <w:t>得</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年专家团队</w:t>
            </w:r>
            <w:r>
              <w:rPr>
                <w:rFonts w:hint="eastAsia" w:ascii="宋体" w:hAnsi="宋体" w:cs="宋体"/>
                <w:kern w:val="2"/>
                <w:sz w:val="21"/>
                <w:szCs w:val="21"/>
                <w:lang w:val="en-US" w:eastAsia="zh-CN" w:bidi="ar-SA"/>
              </w:rPr>
              <w:t>的</w:t>
            </w:r>
            <w:r>
              <w:rPr>
                <w:rFonts w:hint="eastAsia" w:ascii="宋体" w:hAnsi="宋体" w:eastAsia="宋体" w:cs="宋体"/>
                <w:kern w:val="2"/>
                <w:sz w:val="21"/>
                <w:szCs w:val="21"/>
                <w:lang w:val="en-US" w:eastAsia="zh-CN" w:bidi="ar-SA"/>
              </w:rPr>
              <w:t>得</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分</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1年以下</w:t>
            </w:r>
            <w:r>
              <w:rPr>
                <w:rFonts w:hint="eastAsia" w:ascii="宋体" w:hAnsi="宋体" w:cs="宋体"/>
                <w:kern w:val="2"/>
                <w:sz w:val="21"/>
                <w:szCs w:val="21"/>
                <w:lang w:val="en-US" w:eastAsia="zh-CN" w:bidi="ar-SA"/>
              </w:rPr>
              <w:t>的</w:t>
            </w:r>
            <w:r>
              <w:rPr>
                <w:rFonts w:hint="eastAsia" w:ascii="宋体" w:hAnsi="宋体" w:eastAsia="宋体" w:cs="宋体"/>
                <w:kern w:val="2"/>
                <w:sz w:val="21"/>
                <w:szCs w:val="21"/>
                <w:lang w:val="en-US" w:eastAsia="zh-CN" w:bidi="ar-SA"/>
              </w:rPr>
              <w:t>不得分。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宋体" w:cs="宋体"/>
                <w:kern w:val="2"/>
                <w:sz w:val="21"/>
                <w:szCs w:val="21"/>
                <w:lang w:val="en-US" w:eastAsia="zh-CN" w:bidi="ar-SA"/>
              </w:rPr>
            </w:pPr>
          </w:p>
        </w:tc>
        <w:tc>
          <w:tcPr>
            <w:tcW w:w="987" w:type="dxa"/>
            <w:tcBorders>
              <w:top w:val="single" w:color="auto" w:sz="6" w:space="0"/>
              <w:left w:val="single" w:color="auto" w:sz="6" w:space="0"/>
              <w:bottom w:val="single" w:color="auto" w:sz="6" w:space="0"/>
              <w:right w:val="single" w:color="auto" w:sz="6" w:space="0"/>
            </w:tcBorders>
            <w:vAlign w:val="top"/>
          </w:tcPr>
          <w:p>
            <w:pPr>
              <w:snapToGrid w:val="0"/>
              <w:jc w:val="center"/>
              <w:rPr>
                <w:rFonts w:ascii="宋体" w:hAnsi="宋体" w:eastAsia="宋体" w:cs="宋体"/>
                <w:kern w:val="2"/>
                <w:sz w:val="21"/>
                <w:szCs w:val="21"/>
                <w:lang w:val="en-US" w:eastAsia="zh-CN" w:bidi="ar-SA"/>
              </w:rPr>
            </w:pPr>
          </w:p>
        </w:tc>
        <w:tc>
          <w:tcPr>
            <w:tcW w:w="1075" w:type="dxa"/>
            <w:tcBorders>
              <w:top w:val="single" w:color="auto" w:sz="6" w:space="0"/>
              <w:left w:val="single" w:color="auto" w:sz="6" w:space="0"/>
              <w:bottom w:val="single" w:color="auto" w:sz="6" w:space="0"/>
              <w:right w:val="single" w:color="auto" w:sz="4" w:space="0"/>
            </w:tcBorders>
            <w:vAlign w:val="top"/>
          </w:tcPr>
          <w:p>
            <w:pPr>
              <w:snapToGrid w:val="0"/>
              <w:jc w:val="center"/>
              <w:rPr>
                <w:rFonts w:ascii="宋体" w:hAnsi="宋体" w:eastAsia="宋体" w:cs="宋体"/>
                <w:kern w:val="2"/>
                <w:sz w:val="21"/>
                <w:szCs w:val="21"/>
                <w:lang w:val="en-US" w:eastAsia="zh-CN" w:bidi="ar-SA"/>
              </w:rPr>
            </w:pPr>
          </w:p>
        </w:tc>
        <w:tc>
          <w:tcPr>
            <w:tcW w:w="963" w:type="dxa"/>
            <w:tcBorders>
              <w:top w:val="single" w:color="auto" w:sz="6" w:space="0"/>
              <w:left w:val="nil"/>
              <w:bottom w:val="single" w:color="auto" w:sz="6" w:space="0"/>
              <w:right w:val="double" w:color="auto" w:sz="2" w:space="0"/>
            </w:tcBorders>
            <w:vAlign w:val="top"/>
          </w:tcPr>
          <w:p>
            <w:pPr>
              <w:snapToGrid w:val="0"/>
              <w:jc w:val="center"/>
              <w:rPr>
                <w:rFonts w:ascii="宋体" w:hAnsi="宋体" w:eastAsia="宋体" w:cs="宋体"/>
                <w:kern w:val="2"/>
                <w:sz w:val="21"/>
                <w:szCs w:val="21"/>
                <w:lang w:val="en-US" w:eastAsia="zh-CN" w:bidi="ar-SA"/>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22"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合计</w:t>
            </w:r>
          </w:p>
        </w:tc>
        <w:tc>
          <w:tcPr>
            <w:tcW w:w="705"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70</w:t>
            </w:r>
          </w:p>
        </w:tc>
        <w:tc>
          <w:tcPr>
            <w:tcW w:w="4612"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总计得分</w:t>
            </w:r>
          </w:p>
        </w:tc>
        <w:tc>
          <w:tcPr>
            <w:tcW w:w="983"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eastAsia="宋体" w:cs="宋体"/>
                <w:kern w:val="2"/>
                <w:sz w:val="21"/>
                <w:szCs w:val="21"/>
                <w:lang w:val="en-US" w:eastAsia="zh-CN" w:bidi="ar-SA"/>
              </w:rPr>
            </w:pPr>
          </w:p>
        </w:tc>
        <w:tc>
          <w:tcPr>
            <w:tcW w:w="987" w:type="dxa"/>
            <w:tcBorders>
              <w:top w:val="single" w:color="auto" w:sz="6" w:space="0"/>
              <w:left w:val="single" w:color="auto" w:sz="6" w:space="0"/>
              <w:bottom w:val="double" w:color="auto" w:sz="2" w:space="0"/>
              <w:right w:val="single" w:color="auto" w:sz="6" w:space="0"/>
            </w:tcBorders>
            <w:vAlign w:val="top"/>
          </w:tcPr>
          <w:p>
            <w:pPr>
              <w:snapToGrid w:val="0"/>
              <w:jc w:val="center"/>
              <w:rPr>
                <w:rFonts w:ascii="宋体" w:hAnsi="宋体" w:eastAsia="宋体" w:cs="宋体"/>
                <w:kern w:val="2"/>
                <w:sz w:val="21"/>
                <w:szCs w:val="21"/>
                <w:lang w:val="en-US" w:eastAsia="zh-CN" w:bidi="ar-SA"/>
              </w:rPr>
            </w:pPr>
          </w:p>
        </w:tc>
        <w:tc>
          <w:tcPr>
            <w:tcW w:w="1075" w:type="dxa"/>
            <w:tcBorders>
              <w:top w:val="single" w:color="auto" w:sz="6" w:space="0"/>
              <w:left w:val="single" w:color="auto" w:sz="6" w:space="0"/>
              <w:bottom w:val="double" w:color="auto" w:sz="2" w:space="0"/>
              <w:right w:val="single" w:color="auto" w:sz="4" w:space="0"/>
            </w:tcBorders>
            <w:vAlign w:val="top"/>
          </w:tcPr>
          <w:p>
            <w:pPr>
              <w:snapToGrid w:val="0"/>
              <w:jc w:val="center"/>
              <w:rPr>
                <w:rFonts w:ascii="宋体" w:hAnsi="宋体" w:eastAsia="宋体" w:cs="宋体"/>
                <w:kern w:val="2"/>
                <w:sz w:val="21"/>
                <w:szCs w:val="21"/>
                <w:lang w:val="en-US" w:eastAsia="zh-CN" w:bidi="ar-SA"/>
              </w:rPr>
            </w:pPr>
          </w:p>
        </w:tc>
        <w:tc>
          <w:tcPr>
            <w:tcW w:w="963" w:type="dxa"/>
            <w:tcBorders>
              <w:top w:val="single" w:color="auto" w:sz="6" w:space="0"/>
              <w:left w:val="nil"/>
              <w:bottom w:val="double" w:color="auto" w:sz="2" w:space="0"/>
              <w:right w:val="double" w:color="auto" w:sz="2" w:space="0"/>
            </w:tcBorders>
            <w:vAlign w:val="top"/>
          </w:tcPr>
          <w:p>
            <w:pPr>
              <w:snapToGrid w:val="0"/>
              <w:jc w:val="center"/>
              <w:rPr>
                <w:rFonts w:ascii="宋体" w:hAnsi="宋体" w:eastAsia="宋体" w:cs="宋体"/>
                <w:kern w:val="2"/>
                <w:sz w:val="21"/>
                <w:szCs w:val="21"/>
                <w:lang w:val="en-US" w:eastAsia="zh-CN" w:bidi="ar-SA"/>
              </w:rPr>
            </w:pPr>
          </w:p>
        </w:tc>
      </w:tr>
    </w:tbl>
    <w:p>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sz w:val="24"/>
        </w:rPr>
        <w:t>九、技术商务评分汇总表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技术商务评分汇总表</w:t>
      </w:r>
    </w:p>
    <w:p>
      <w:pPr>
        <w:rPr>
          <w:rFonts w:ascii="宋体" w:hAnsi="宋体" w:cs="宋体"/>
          <w:sz w:val="24"/>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2489"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282" w:type="dxa"/>
            <w:vAlign w:val="center"/>
          </w:tcPr>
          <w:p>
            <w:pPr>
              <w:jc w:val="center"/>
              <w:rPr>
                <w:rFonts w:ascii="宋体" w:hAnsi="宋体" w:cs="宋体"/>
                <w:sz w:val="24"/>
              </w:rPr>
            </w:pPr>
            <w:r>
              <w:rPr>
                <w:rFonts w:hint="eastAsia" w:ascii="宋体" w:hAnsi="宋体" w:cs="宋体"/>
                <w:sz w:val="24"/>
              </w:rPr>
              <w:t>评委1评分</w:t>
            </w:r>
          </w:p>
        </w:tc>
        <w:tc>
          <w:tcPr>
            <w:tcW w:w="1227" w:type="dxa"/>
            <w:vAlign w:val="center"/>
          </w:tcPr>
          <w:p>
            <w:pPr>
              <w:jc w:val="center"/>
              <w:rPr>
                <w:rFonts w:ascii="宋体" w:hAnsi="宋体" w:cs="宋体"/>
                <w:sz w:val="24"/>
              </w:rPr>
            </w:pPr>
            <w:r>
              <w:rPr>
                <w:rFonts w:hint="eastAsia" w:ascii="宋体" w:hAnsi="宋体" w:cs="宋体"/>
                <w:sz w:val="24"/>
              </w:rPr>
              <w:t>评委2评分</w:t>
            </w:r>
          </w:p>
        </w:tc>
        <w:tc>
          <w:tcPr>
            <w:tcW w:w="1268" w:type="dxa"/>
            <w:vAlign w:val="center"/>
          </w:tcPr>
          <w:p>
            <w:pPr>
              <w:jc w:val="center"/>
              <w:rPr>
                <w:rFonts w:ascii="宋体" w:hAnsi="宋体" w:cs="宋体"/>
                <w:sz w:val="24"/>
              </w:rPr>
            </w:pPr>
            <w:r>
              <w:rPr>
                <w:rFonts w:hint="eastAsia" w:ascii="宋体" w:hAnsi="宋体" w:cs="宋体"/>
                <w:sz w:val="24"/>
              </w:rPr>
              <w:t>评委3评分</w:t>
            </w:r>
          </w:p>
        </w:tc>
        <w:tc>
          <w:tcPr>
            <w:tcW w:w="1214" w:type="dxa"/>
            <w:vAlign w:val="center"/>
          </w:tcPr>
          <w:p>
            <w:pPr>
              <w:jc w:val="center"/>
              <w:rPr>
                <w:rFonts w:ascii="宋体" w:hAnsi="宋体" w:cs="宋体"/>
                <w:sz w:val="24"/>
              </w:rPr>
            </w:pPr>
            <w:r>
              <w:rPr>
                <w:rFonts w:hint="eastAsia" w:ascii="宋体" w:hAnsi="宋体" w:cs="宋体"/>
                <w:sz w:val="24"/>
              </w:rPr>
              <w:t>评委4评分</w:t>
            </w:r>
          </w:p>
        </w:tc>
        <w:tc>
          <w:tcPr>
            <w:tcW w:w="1198" w:type="dxa"/>
            <w:vAlign w:val="center"/>
          </w:tcPr>
          <w:p>
            <w:pPr>
              <w:jc w:val="center"/>
              <w:rPr>
                <w:rFonts w:ascii="宋体" w:hAnsi="宋体" w:cs="宋体"/>
                <w:szCs w:val="21"/>
              </w:rPr>
            </w:pPr>
            <w:r>
              <w:rPr>
                <w:rFonts w:hint="eastAsia" w:ascii="宋体" w:hAnsi="宋体" w:cs="宋体"/>
                <w:sz w:val="24"/>
              </w:rPr>
              <w:t>评委5评分</w:t>
            </w:r>
          </w:p>
        </w:tc>
        <w:tc>
          <w:tcPr>
            <w:tcW w:w="1118" w:type="dxa"/>
            <w:vAlign w:val="center"/>
          </w:tcPr>
          <w:p>
            <w:pPr>
              <w:jc w:val="center"/>
              <w:rPr>
                <w:rFonts w:ascii="宋体" w:hAnsi="宋体" w:cs="宋体"/>
                <w:sz w:val="24"/>
              </w:rPr>
            </w:pPr>
            <w:r>
              <w:rPr>
                <w:rFonts w:hint="eastAsia" w:ascii="宋体" w:hAnsi="宋体" w:cs="宋体"/>
                <w:szCs w:val="21"/>
              </w:rPr>
              <w:t>平均得分</w:t>
            </w:r>
          </w:p>
        </w:tc>
        <w:tc>
          <w:tcPr>
            <w:tcW w:w="941"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2489" w:type="dxa"/>
            <w:vAlign w:val="center"/>
          </w:tcPr>
          <w:p>
            <w:pPr>
              <w:jc w:val="center"/>
              <w:rPr>
                <w:rFonts w:ascii="宋体" w:hAnsi="宋体" w:cs="宋体"/>
                <w:sz w:val="24"/>
              </w:rPr>
            </w:pPr>
            <w:r>
              <w:rPr>
                <w:rFonts w:hint="eastAsia" w:ascii="宋体" w:hAnsi="宋体" w:cs="宋体"/>
                <w:sz w:val="24"/>
              </w:rPr>
              <w:t>供应商A</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2489" w:type="dxa"/>
            <w:vAlign w:val="center"/>
          </w:tcPr>
          <w:p>
            <w:pPr>
              <w:jc w:val="center"/>
              <w:rPr>
                <w:rFonts w:ascii="宋体" w:hAnsi="宋体" w:cs="宋体"/>
                <w:sz w:val="24"/>
              </w:rPr>
            </w:pPr>
            <w:r>
              <w:rPr>
                <w:rFonts w:hint="eastAsia" w:ascii="宋体" w:hAnsi="宋体" w:cs="宋体"/>
                <w:sz w:val="24"/>
              </w:rPr>
              <w:t>供应商B</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2489" w:type="dxa"/>
            <w:vAlign w:val="center"/>
          </w:tcPr>
          <w:p>
            <w:pPr>
              <w:jc w:val="center"/>
              <w:rPr>
                <w:rFonts w:ascii="宋体" w:hAnsi="宋体" w:cs="宋体"/>
                <w:sz w:val="24"/>
              </w:rPr>
            </w:pPr>
            <w:r>
              <w:rPr>
                <w:rFonts w:hint="eastAsia" w:ascii="宋体" w:hAnsi="宋体" w:cs="宋体"/>
                <w:sz w:val="24"/>
              </w:rPr>
              <w:t>供应商C</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2489" w:type="dxa"/>
            <w:vAlign w:val="center"/>
          </w:tcPr>
          <w:p>
            <w:pPr>
              <w:jc w:val="center"/>
              <w:rPr>
                <w:rFonts w:ascii="宋体" w:hAnsi="宋体" w:cs="宋体"/>
                <w:sz w:val="24"/>
              </w:rPr>
            </w:pPr>
            <w:r>
              <w:rPr>
                <w:rFonts w:hint="eastAsia" w:ascii="宋体" w:hAnsi="宋体" w:cs="宋体"/>
                <w:sz w:val="24"/>
              </w:rPr>
              <w:t>……</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pPr>
      <w:r>
        <w:rPr>
          <w:rFonts w:hint="eastAsia" w:ascii="宋体" w:hAnsi="宋体" w:cs="宋体"/>
          <w:bCs/>
          <w:sz w:val="24"/>
        </w:rPr>
        <w:t>评审日期：</w:t>
      </w:r>
    </w:p>
    <w:p>
      <w:pPr>
        <w:rPr>
          <w:rFonts w:ascii="宋体" w:hAnsi="宋体" w:cs="宋体"/>
          <w:sz w:val="24"/>
        </w:rPr>
      </w:pPr>
      <w:r>
        <w:rPr>
          <w:rFonts w:hint="eastAsia" w:ascii="宋体" w:hAnsi="宋体" w:cs="宋体"/>
          <w:sz w:val="24"/>
        </w:rPr>
        <w:br w:type="page"/>
      </w:r>
      <w:r>
        <w:rPr>
          <w:rFonts w:hint="eastAsia" w:ascii="宋体" w:hAnsi="宋体" w:cs="宋体"/>
          <w:sz w:val="24"/>
        </w:rPr>
        <w:t xml:space="preserve">    十、价格评分汇总表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价格评分汇总表</w:t>
      </w:r>
    </w:p>
    <w:p>
      <w:pPr>
        <w:rPr>
          <w:rFonts w:ascii="宋体" w:hAnsi="宋体" w:cs="宋体"/>
          <w:sz w:val="24"/>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372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320" w:type="dxa"/>
            <w:vAlign w:val="center"/>
          </w:tcPr>
          <w:p>
            <w:pPr>
              <w:jc w:val="center"/>
              <w:rPr>
                <w:rFonts w:ascii="宋体" w:hAnsi="宋体" w:cs="宋体"/>
                <w:sz w:val="24"/>
              </w:rPr>
            </w:pPr>
            <w:r>
              <w:rPr>
                <w:rFonts w:hint="eastAsia" w:ascii="宋体" w:hAnsi="宋体" w:cs="宋体"/>
                <w:szCs w:val="21"/>
              </w:rPr>
              <w:t>单价报价（元）</w:t>
            </w:r>
          </w:p>
        </w:tc>
        <w:tc>
          <w:tcPr>
            <w:tcW w:w="1110" w:type="dxa"/>
            <w:vAlign w:val="center"/>
          </w:tcPr>
          <w:p>
            <w:pPr>
              <w:jc w:val="center"/>
              <w:rPr>
                <w:rFonts w:ascii="宋体" w:hAnsi="宋体" w:cs="宋体"/>
                <w:sz w:val="24"/>
              </w:rPr>
            </w:pPr>
            <w:r>
              <w:rPr>
                <w:rFonts w:hint="eastAsia" w:ascii="宋体" w:hAnsi="宋体" w:cs="宋体"/>
                <w:szCs w:val="21"/>
              </w:rPr>
              <w:t>基准价格（元）</w:t>
            </w:r>
          </w:p>
        </w:tc>
        <w:tc>
          <w:tcPr>
            <w:tcW w:w="1297" w:type="dxa"/>
            <w:vAlign w:val="center"/>
          </w:tcPr>
          <w:p>
            <w:pPr>
              <w:jc w:val="center"/>
              <w:rPr>
                <w:rFonts w:ascii="宋体" w:hAnsi="宋体" w:cs="宋体"/>
                <w:sz w:val="24"/>
              </w:rPr>
            </w:pPr>
            <w:r>
              <w:rPr>
                <w:rFonts w:hint="eastAsia" w:ascii="宋体" w:hAnsi="宋体" w:cs="宋体"/>
                <w:szCs w:val="21"/>
              </w:rPr>
              <w:t>得分</w:t>
            </w:r>
          </w:p>
        </w:tc>
        <w:tc>
          <w:tcPr>
            <w:tcW w:w="84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3720" w:type="dxa"/>
            <w:vAlign w:val="center"/>
          </w:tcPr>
          <w:p>
            <w:pPr>
              <w:jc w:val="center"/>
              <w:rPr>
                <w:rFonts w:ascii="宋体" w:hAnsi="宋体" w:cs="宋体"/>
                <w:sz w:val="24"/>
              </w:rPr>
            </w:pPr>
            <w:r>
              <w:rPr>
                <w:rFonts w:hint="eastAsia" w:ascii="宋体" w:hAnsi="宋体" w:cs="宋体"/>
                <w:sz w:val="24"/>
              </w:rPr>
              <w:t>供应商A</w:t>
            </w:r>
          </w:p>
        </w:tc>
        <w:tc>
          <w:tcPr>
            <w:tcW w:w="1320" w:type="dxa"/>
            <w:vAlign w:val="center"/>
          </w:tcPr>
          <w:p>
            <w:pPr>
              <w:jc w:val="center"/>
              <w:rPr>
                <w:rFonts w:ascii="宋体" w:hAnsi="宋体" w:cs="宋体"/>
                <w:sz w:val="24"/>
              </w:rPr>
            </w:pPr>
          </w:p>
        </w:tc>
        <w:tc>
          <w:tcPr>
            <w:tcW w:w="1110" w:type="dxa"/>
            <w:vMerge w:val="restart"/>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3720" w:type="dxa"/>
            <w:vAlign w:val="center"/>
          </w:tcPr>
          <w:p>
            <w:pPr>
              <w:jc w:val="center"/>
              <w:rPr>
                <w:rFonts w:ascii="宋体" w:hAnsi="宋体" w:cs="宋体"/>
                <w:sz w:val="24"/>
              </w:rPr>
            </w:pPr>
            <w:r>
              <w:rPr>
                <w:rFonts w:hint="eastAsia" w:ascii="宋体" w:hAnsi="宋体" w:cs="宋体"/>
                <w:sz w:val="24"/>
              </w:rPr>
              <w:t>供应商B</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3720" w:type="dxa"/>
            <w:vAlign w:val="center"/>
          </w:tcPr>
          <w:p>
            <w:pPr>
              <w:jc w:val="center"/>
              <w:rPr>
                <w:rFonts w:ascii="宋体" w:hAnsi="宋体" w:cs="宋体"/>
                <w:sz w:val="24"/>
              </w:rPr>
            </w:pPr>
            <w:r>
              <w:rPr>
                <w:rFonts w:hint="eastAsia" w:ascii="宋体" w:hAnsi="宋体" w:cs="宋体"/>
                <w:sz w:val="24"/>
              </w:rPr>
              <w:t>供应商C</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3720" w:type="dxa"/>
            <w:vAlign w:val="center"/>
          </w:tcPr>
          <w:p>
            <w:pPr>
              <w:jc w:val="center"/>
              <w:rPr>
                <w:rFonts w:ascii="宋体" w:hAnsi="宋体" w:cs="宋体"/>
                <w:sz w:val="24"/>
              </w:rPr>
            </w:pPr>
            <w:r>
              <w:rPr>
                <w:rFonts w:hint="eastAsia" w:ascii="宋体" w:hAnsi="宋体" w:cs="宋体"/>
                <w:sz w:val="24"/>
              </w:rPr>
              <w:t>……</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31"/>
        <w:ind w:firstLine="210"/>
      </w:pPr>
    </w:p>
    <w:p/>
    <w:p>
      <w:pPr>
        <w:pStyle w:val="44"/>
      </w:pPr>
    </w:p>
    <w:p>
      <w:pPr>
        <w:pStyle w:val="44"/>
      </w:pPr>
    </w:p>
    <w:p>
      <w:pPr>
        <w:pStyle w:val="44"/>
      </w:pPr>
    </w:p>
    <w:p>
      <w:pPr>
        <w:pStyle w:val="44"/>
      </w:pPr>
    </w:p>
    <w:p>
      <w:p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rPr>
      </w:pPr>
      <w:r>
        <w:rPr>
          <w:rFonts w:hint="eastAsia"/>
        </w:rPr>
        <w:t>十一</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序号</w:t>
            </w:r>
          </w:p>
        </w:tc>
        <w:tc>
          <w:tcPr>
            <w:tcW w:w="3067"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00" w:type="dxa"/>
            <w:vAlign w:val="center"/>
          </w:tcPr>
          <w:p>
            <w:pPr>
              <w:jc w:val="center"/>
              <w:rPr>
                <w:rFonts w:ascii="宋体" w:hAnsi="宋体" w:cs="宋体"/>
                <w:sz w:val="24"/>
              </w:rPr>
            </w:pPr>
            <w:r>
              <w:rPr>
                <w:rFonts w:hint="eastAsia" w:ascii="宋体" w:hAnsi="宋体" w:cs="宋体"/>
                <w:sz w:val="24"/>
              </w:rPr>
              <w:t>资格评审情况</w:t>
            </w:r>
          </w:p>
        </w:tc>
        <w:tc>
          <w:tcPr>
            <w:tcW w:w="1095" w:type="dxa"/>
            <w:vAlign w:val="center"/>
          </w:tcPr>
          <w:p>
            <w:pPr>
              <w:jc w:val="center"/>
              <w:rPr>
                <w:rFonts w:ascii="宋体" w:hAnsi="宋体" w:cs="宋体"/>
                <w:szCs w:val="21"/>
              </w:rPr>
            </w:pPr>
            <w:r>
              <w:rPr>
                <w:rFonts w:hint="eastAsia" w:ascii="宋体" w:hAnsi="宋体" w:cs="宋体"/>
                <w:szCs w:val="21"/>
              </w:rPr>
              <w:t>单价报价（元）</w:t>
            </w:r>
          </w:p>
        </w:tc>
        <w:tc>
          <w:tcPr>
            <w:tcW w:w="1105" w:type="dxa"/>
            <w:vAlign w:val="center"/>
          </w:tcPr>
          <w:p>
            <w:pPr>
              <w:jc w:val="center"/>
              <w:rPr>
                <w:rFonts w:ascii="宋体" w:hAnsi="宋体" w:cs="宋体"/>
                <w:szCs w:val="21"/>
              </w:rPr>
            </w:pPr>
            <w:r>
              <w:rPr>
                <w:rFonts w:hint="eastAsia" w:ascii="宋体" w:hAnsi="宋体" w:cs="宋体"/>
                <w:szCs w:val="21"/>
              </w:rPr>
              <w:t>价格得分</w:t>
            </w:r>
          </w:p>
        </w:tc>
        <w:tc>
          <w:tcPr>
            <w:tcW w:w="1105" w:type="dxa"/>
            <w:vAlign w:val="center"/>
          </w:tcPr>
          <w:p>
            <w:pPr>
              <w:jc w:val="center"/>
              <w:rPr>
                <w:rFonts w:ascii="宋体" w:hAnsi="宋体" w:cs="宋体"/>
                <w:szCs w:val="21"/>
              </w:rPr>
            </w:pPr>
            <w:r>
              <w:rPr>
                <w:rFonts w:hint="eastAsia" w:ascii="宋体" w:hAnsi="宋体" w:cs="宋体"/>
                <w:szCs w:val="21"/>
              </w:rPr>
              <w:t>技术商务平均得分</w:t>
            </w:r>
          </w:p>
        </w:tc>
        <w:tc>
          <w:tcPr>
            <w:tcW w:w="1105" w:type="dxa"/>
            <w:vAlign w:val="center"/>
          </w:tcPr>
          <w:p>
            <w:pPr>
              <w:jc w:val="center"/>
              <w:rPr>
                <w:rFonts w:ascii="宋体" w:hAnsi="宋体" w:cs="宋体"/>
                <w:sz w:val="24"/>
              </w:rPr>
            </w:pPr>
            <w:r>
              <w:rPr>
                <w:rFonts w:hint="eastAsia" w:ascii="宋体" w:hAnsi="宋体" w:cs="宋体"/>
                <w:szCs w:val="21"/>
              </w:rPr>
              <w:t>总得分</w:t>
            </w:r>
          </w:p>
        </w:tc>
        <w:tc>
          <w:tcPr>
            <w:tcW w:w="1054" w:type="dxa"/>
            <w:vAlign w:val="center"/>
          </w:tcPr>
          <w:p>
            <w:pPr>
              <w:jc w:val="center"/>
              <w:rPr>
                <w:rFonts w:ascii="宋体" w:hAnsi="宋体" w:cs="宋体"/>
                <w:sz w:val="24"/>
              </w:rPr>
            </w:pP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1</w:t>
            </w:r>
          </w:p>
        </w:tc>
        <w:tc>
          <w:tcPr>
            <w:tcW w:w="3067" w:type="dxa"/>
            <w:vAlign w:val="center"/>
          </w:tcPr>
          <w:p>
            <w:pPr>
              <w:jc w:val="center"/>
              <w:rPr>
                <w:rFonts w:ascii="宋体" w:hAnsi="宋体" w:cs="宋体"/>
                <w:sz w:val="24"/>
              </w:rPr>
            </w:pPr>
            <w:r>
              <w:rPr>
                <w:rFonts w:hint="eastAsia" w:ascii="宋体" w:hAnsi="宋体" w:cs="宋体"/>
                <w:sz w:val="24"/>
              </w:rPr>
              <w:t>供应商A</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Cs w:val="21"/>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2</w:t>
            </w:r>
          </w:p>
        </w:tc>
        <w:tc>
          <w:tcPr>
            <w:tcW w:w="3067" w:type="dxa"/>
            <w:vAlign w:val="center"/>
          </w:tcPr>
          <w:p>
            <w:pPr>
              <w:jc w:val="center"/>
              <w:rPr>
                <w:rFonts w:ascii="宋体" w:hAnsi="宋体" w:cs="宋体"/>
                <w:sz w:val="24"/>
              </w:rPr>
            </w:pPr>
            <w:r>
              <w:rPr>
                <w:rFonts w:hint="eastAsia" w:ascii="宋体" w:hAnsi="宋体" w:cs="宋体"/>
                <w:sz w:val="24"/>
              </w:rPr>
              <w:t>供应商B</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3</w:t>
            </w:r>
          </w:p>
        </w:tc>
        <w:tc>
          <w:tcPr>
            <w:tcW w:w="3067" w:type="dxa"/>
            <w:vAlign w:val="center"/>
          </w:tcPr>
          <w:p>
            <w:pPr>
              <w:jc w:val="center"/>
              <w:rPr>
                <w:rFonts w:ascii="宋体" w:hAnsi="宋体" w:cs="宋体"/>
                <w:sz w:val="24"/>
              </w:rPr>
            </w:pPr>
            <w:r>
              <w:rPr>
                <w:rFonts w:hint="eastAsia" w:ascii="宋体" w:hAnsi="宋体" w:cs="宋体"/>
                <w:sz w:val="24"/>
              </w:rPr>
              <w:t>供应商C</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p>
        </w:tc>
        <w:tc>
          <w:tcPr>
            <w:tcW w:w="3067" w:type="dxa"/>
            <w:vAlign w:val="center"/>
          </w:tcPr>
          <w:p>
            <w:pPr>
              <w:jc w:val="center"/>
              <w:rPr>
                <w:rFonts w:ascii="宋体" w:hAnsi="宋体" w:cs="宋体"/>
                <w:sz w:val="24"/>
              </w:rPr>
            </w:pPr>
            <w:r>
              <w:rPr>
                <w:rFonts w:hint="eastAsia" w:ascii="宋体" w:hAnsi="宋体" w:cs="宋体"/>
                <w:sz w:val="24"/>
              </w:rPr>
              <w:t>……</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注：1.资格评审情况填“通过”或“不通过”。</w:t>
      </w:r>
    </w:p>
    <w:p>
      <w:pPr>
        <w:ind w:firstLine="480" w:firstLineChars="200"/>
        <w:rPr>
          <w:rFonts w:ascii="宋体" w:hAnsi="宋体" w:cs="宋体"/>
          <w:sz w:val="24"/>
        </w:rPr>
      </w:pPr>
      <w:r>
        <w:rPr>
          <w:rFonts w:hint="eastAsia" w:ascii="宋体" w:hAnsi="宋体" w:cs="宋体"/>
          <w:sz w:val="24"/>
        </w:rPr>
        <w:t>2.上述表格可手写或打印，但不能涂改。</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sz w:val="24"/>
        </w:rPr>
        <w:t xml:space="preserve">成员签名：                  </w:t>
      </w:r>
    </w:p>
    <w:p>
      <w:pPr>
        <w:spacing w:line="560" w:lineRule="exact"/>
        <w:rPr>
          <w:rFonts w:ascii="宋体" w:hAnsi="宋体" w:cs="宋体"/>
          <w:sz w:val="24"/>
        </w:rPr>
      </w:pPr>
      <w:r>
        <w:rPr>
          <w:rFonts w:hint="eastAsia" w:ascii="宋体" w:hAnsi="宋体" w:cs="宋体"/>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r>
        <w:rPr>
          <w:rFonts w:hint="eastAsia"/>
          <w:b/>
          <w:bCs/>
          <w:sz w:val="44"/>
          <w:szCs w:val="44"/>
        </w:rPr>
        <w:t>第四部分  参评响应文件格式</w:t>
      </w:r>
    </w:p>
    <w:p>
      <w:pPr>
        <w:adjustRightInd w:val="0"/>
        <w:snapToGrid w:val="0"/>
        <w:spacing w:line="560" w:lineRule="exact"/>
        <w:rPr>
          <w:rFonts w:ascii="仿宋_GB2312" w:eastAsia="仿宋_GB2312"/>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spacing w:line="560" w:lineRule="exact"/>
        <w:jc w:val="center"/>
        <w:rPr>
          <w:b/>
          <w:spacing w:val="100"/>
          <w:w w:val="110"/>
          <w:sz w:val="32"/>
          <w:szCs w:val="32"/>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96"/>
          <w:szCs w:val="96"/>
        </w:rPr>
      </w:pPr>
    </w:p>
    <w:p>
      <w:pPr>
        <w:pStyle w:val="17"/>
        <w:jc w:val="center"/>
        <w:rPr>
          <w:rFonts w:ascii="Times New Roman" w:hAnsi="Times New Roman"/>
          <w:b/>
          <w:sz w:val="96"/>
          <w:szCs w:val="96"/>
        </w:rPr>
      </w:pPr>
    </w:p>
    <w:p>
      <w:pPr>
        <w:pStyle w:val="17"/>
        <w:jc w:val="center"/>
        <w:rPr>
          <w:rFonts w:ascii="Times New Roman" w:hAnsi="Times New Roman"/>
          <w:b/>
          <w:sz w:val="44"/>
          <w:szCs w:val="44"/>
        </w:rPr>
      </w:pPr>
      <w:r>
        <w:rPr>
          <w:rFonts w:hint="eastAsia" w:ascii="Times New Roman" w:hAnsi="Times New Roman"/>
          <w:b/>
          <w:sz w:val="96"/>
          <w:szCs w:val="96"/>
        </w:rPr>
        <w:t>参 评 文 件</w:t>
      </w:r>
    </w:p>
    <w:p>
      <w:pPr>
        <w:pStyle w:val="17"/>
        <w:spacing w:line="560" w:lineRule="exact"/>
        <w:jc w:val="center"/>
        <w:rPr>
          <w:rFonts w:ascii="Times New Roman" w:hAnsi="Times New Roman"/>
          <w:b/>
          <w:sz w:val="32"/>
          <w:szCs w:val="32"/>
        </w:rPr>
      </w:pPr>
    </w:p>
    <w:p>
      <w:pPr>
        <w:pStyle w:val="17"/>
        <w:spacing w:line="560" w:lineRule="exact"/>
        <w:jc w:val="center"/>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7"/>
        <w:spacing w:line="560" w:lineRule="exact"/>
        <w:ind w:firstLine="1606" w:firstLineChars="500"/>
        <w:rPr>
          <w:rFonts w:hint="eastAsia" w:ascii="Times New Roman" w:hAnsi="Times New Roman"/>
          <w:b/>
          <w:sz w:val="32"/>
          <w:szCs w:val="32"/>
        </w:rPr>
      </w:pPr>
      <w:r>
        <w:rPr>
          <w:rFonts w:hint="eastAsia" w:ascii="Times New Roman" w:hAnsi="Times New Roman"/>
          <w:b/>
          <w:sz w:val="32"/>
          <w:szCs w:val="32"/>
        </w:rPr>
        <w:t>项目名称：中山市公共交通运输集团有限公司</w:t>
      </w:r>
    </w:p>
    <w:p>
      <w:pPr>
        <w:pStyle w:val="17"/>
        <w:spacing w:line="560" w:lineRule="exact"/>
        <w:ind w:firstLine="3213" w:firstLineChars="1000"/>
        <w:rPr>
          <w:rFonts w:hint="eastAsia" w:ascii="Times New Roman" w:hAnsi="Times New Roman" w:eastAsia="宋体"/>
          <w:b/>
          <w:sz w:val="32"/>
          <w:szCs w:val="32"/>
        </w:rPr>
      </w:pPr>
      <w:r>
        <w:rPr>
          <w:rFonts w:hint="eastAsia" w:ascii="Times New Roman" w:hAnsi="Times New Roman" w:eastAsia="宋体"/>
          <w:b/>
          <w:sz w:val="32"/>
          <w:szCs w:val="32"/>
          <w:lang w:val="en-US" w:eastAsia="zh-CN"/>
        </w:rPr>
        <w:t>响应式公交平台两年期服务采购</w:t>
      </w:r>
      <w:r>
        <w:rPr>
          <w:rFonts w:hint="eastAsia" w:ascii="Times New Roman" w:hAnsi="Times New Roman" w:eastAsia="宋体"/>
          <w:b/>
          <w:sz w:val="32"/>
          <w:szCs w:val="32"/>
        </w:rPr>
        <w:t>项目</w:t>
      </w:r>
    </w:p>
    <w:p>
      <w:pPr>
        <w:pStyle w:val="17"/>
        <w:spacing w:line="560" w:lineRule="exact"/>
        <w:ind w:firstLine="1754" w:firstLineChars="546"/>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参评供应商名称（盖章）：     </w:t>
      </w:r>
    </w:p>
    <w:p>
      <w:pPr>
        <w:pStyle w:val="17"/>
        <w:spacing w:line="560" w:lineRule="exact"/>
        <w:ind w:firstLine="1754" w:firstLineChars="546"/>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10"/>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我方确认收到</w:t>
      </w:r>
      <w:r>
        <w:rPr>
          <w:rFonts w:hint="eastAsia" w:ascii="宋体" w:hAnsi="宋体" w:cs="宋体"/>
          <w:bCs/>
          <w:sz w:val="24"/>
          <w:u w:val="single"/>
        </w:rPr>
        <w:t>《中山市公共交通运输集团有限公司</w:t>
      </w:r>
      <w:r>
        <w:rPr>
          <w:rFonts w:hint="eastAsia" w:ascii="宋体" w:hAnsi="宋体" w:cs="宋体"/>
          <w:bCs/>
          <w:sz w:val="24"/>
          <w:u w:val="single"/>
          <w:lang w:val="en-US" w:eastAsia="zh-CN"/>
        </w:rPr>
        <w:t>响应式公交平台两年期</w:t>
      </w:r>
      <w:r>
        <w:rPr>
          <w:rFonts w:hint="eastAsia" w:ascii="宋体" w:hAnsi="宋体" w:cs="宋体"/>
          <w:bCs/>
          <w:sz w:val="24"/>
          <w:u w:val="single"/>
        </w:rPr>
        <w:t>服务采购项目》</w:t>
      </w:r>
      <w:r>
        <w:rPr>
          <w:rFonts w:hint="eastAsia" w:ascii="宋体" w:hAnsi="宋体" w:cs="宋体"/>
          <w:bCs/>
          <w:sz w:val="24"/>
        </w:rPr>
        <w:t>采购文件，经详细研究，决定参加该项目评选，并作出如下承诺：</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1.同意并接受采购文件的各项要求，完全接受贵方设定的全部参数、配置、条款，满足采购文件中的各项需求（详见《需求响应表》），按采购文件的要求提供报价（详见报价表）。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w:t>
      </w:r>
      <w:r>
        <w:rPr>
          <w:rFonts w:hint="eastAsia" w:ascii="宋体" w:hAnsi="宋体" w:cs="宋体"/>
          <w:b/>
          <w:sz w:val="24"/>
        </w:rPr>
        <w:t>非联合体参评报价</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8.参评文件有效期：报名截止之日后90天内有效。</w:t>
      </w:r>
    </w:p>
    <w:p>
      <w:pPr>
        <w:tabs>
          <w:tab w:val="left" w:pos="900"/>
        </w:tabs>
        <w:spacing w:line="500" w:lineRule="exact"/>
        <w:ind w:firstLine="480" w:firstLineChars="200"/>
        <w:rPr>
          <w:rFonts w:ascii="宋体" w:hAnsi="宋体" w:cs="宋体"/>
          <w:bCs/>
          <w:sz w:val="24"/>
        </w:rPr>
      </w:pP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参评供应商（盖章）：</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格式2 法定代表人授权委托书及</w:t>
      </w:r>
      <w:r>
        <w:rPr>
          <w:rFonts w:ascii="宋体" w:hAnsi="宋体"/>
          <w:b/>
          <w:bCs/>
          <w:sz w:val="24"/>
        </w:rPr>
        <w:t>法人代表证明书</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ascii="宋体" w:hAnsi="宋体" w:cs="宋体"/>
          <w:bCs/>
          <w:sz w:val="24"/>
        </w:rPr>
      </w:pPr>
      <w:r>
        <w:rPr>
          <w:rFonts w:hint="eastAsia" w:ascii="宋体" w:hAnsi="宋体" w:cs="宋体"/>
          <w:bCs/>
          <w:sz w:val="24"/>
        </w:rPr>
        <w:t>致：中山市公共交通运输集团有限公司：</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兹授权</w:t>
      </w:r>
      <w:r>
        <w:rPr>
          <w:rFonts w:hint="eastAsia" w:ascii="宋体" w:hAnsi="宋体" w:cs="宋体"/>
          <w:bCs/>
          <w:sz w:val="24"/>
          <w:u w:val="single"/>
        </w:rPr>
        <w:t xml:space="preserve">          </w:t>
      </w:r>
      <w:r>
        <w:rPr>
          <w:rFonts w:hint="eastAsia" w:ascii="宋体" w:hAnsi="宋体" w:cs="宋体"/>
          <w:bCs/>
          <w:sz w:val="24"/>
        </w:rPr>
        <w:t>同志，为我方全权代表，全权参与贵方“中山市公共交通运输集团有限公司</w:t>
      </w:r>
      <w:r>
        <w:rPr>
          <w:rFonts w:hint="eastAsia" w:ascii="宋体" w:hAnsi="宋体" w:cs="宋体"/>
          <w:bCs/>
          <w:sz w:val="24"/>
          <w:lang w:val="en-US" w:eastAsia="zh-CN"/>
        </w:rPr>
        <w:t>响应式公交平台两年期</w:t>
      </w:r>
      <w:r>
        <w:rPr>
          <w:rFonts w:hint="eastAsia" w:ascii="宋体" w:hAnsi="宋体" w:cs="宋体"/>
          <w:bCs/>
          <w:sz w:val="24"/>
        </w:rPr>
        <w:t>服务采购项目”</w:t>
      </w:r>
      <w:r>
        <w:rPr>
          <w:rFonts w:hint="eastAsia" w:ascii="宋体" w:hAnsi="宋体" w:cs="宋体"/>
          <w:sz w:val="24"/>
          <w:szCs w:val="20"/>
        </w:rPr>
        <w:t>的参评、</w:t>
      </w:r>
      <w:r>
        <w:rPr>
          <w:rFonts w:hint="eastAsia" w:ascii="宋体" w:hAnsi="宋体" w:cs="宋体"/>
          <w:bCs/>
          <w:sz w:val="24"/>
        </w:rPr>
        <w:t>提供与签署确认文书资料等一切事宜。</w:t>
      </w:r>
    </w:p>
    <w:p>
      <w:pPr>
        <w:adjustRightInd w:val="0"/>
        <w:snapToGrid w:val="0"/>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签发日期：</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有效期：响应截止之日起90日内有效。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附：被授权代表姓名：</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身份证号码：</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联系电话：</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联系邮箱：</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参评签名代表为法定代表人，则本委托书不适用。</w:t>
      </w:r>
    </w:p>
    <w:p>
      <w:pPr>
        <w:adjustRightInd w:val="0"/>
        <w:snapToGrid w:val="0"/>
        <w:spacing w:line="560" w:lineRule="exact"/>
        <w:ind w:firstLine="480" w:firstLineChars="200"/>
        <w:rPr>
          <w:rFonts w:ascii="宋体" w:hAnsi="宋体" w:cs="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rPr>
          <w:rFonts w:ascii="宋体" w:hAnsi="宋体" w:cs="仿宋_GB2312"/>
          <w:b/>
          <w:sz w:val="44"/>
          <w:szCs w:val="44"/>
        </w:rPr>
      </w:pPr>
    </w:p>
    <w:p>
      <w:pPr>
        <w:tabs>
          <w:tab w:val="left" w:pos="900"/>
        </w:tabs>
        <w:spacing w:line="560" w:lineRule="exact"/>
        <w:rPr>
          <w:rFonts w:ascii="宋体" w:hAnsi="宋体" w:cs="仿宋_GB2312"/>
          <w:b/>
          <w:sz w:val="44"/>
          <w:szCs w:val="4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960" w:firstLineChars="400"/>
        <w:rPr>
          <w:rFonts w:ascii="宋体" w:hAnsi="宋体" w:cs="宋体"/>
          <w:bCs/>
          <w:sz w:val="24"/>
        </w:rPr>
      </w:pPr>
      <w:r>
        <w:rPr>
          <w:rFonts w:hint="eastAsia" w:ascii="宋体" w:hAnsi="宋体" w:cs="宋体"/>
          <w:sz w:val="24"/>
        </w:rPr>
        <w:t>______________</w:t>
      </w:r>
      <w:r>
        <w:rPr>
          <w:rFonts w:hint="eastAsia" w:ascii="宋体" w:hAnsi="宋体" w:cs="宋体"/>
          <w:bCs/>
          <w:sz w:val="24"/>
        </w:rPr>
        <w:t>同志，现任我单位职务</w:t>
      </w:r>
      <w:r>
        <w:rPr>
          <w:rFonts w:hint="eastAsia" w:ascii="宋体" w:hAnsi="宋体" w:cs="宋体"/>
          <w:sz w:val="24"/>
        </w:rPr>
        <w:t>______________</w:t>
      </w:r>
      <w:r>
        <w:rPr>
          <w:rFonts w:hint="eastAsia" w:ascii="宋体" w:hAnsi="宋体" w:cs="宋体"/>
          <w:bCs/>
          <w:sz w:val="24"/>
        </w:rPr>
        <w:t>，为法定代表人/负责人，特此证明。</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有效日期与本公司参评文件中标注的有效期相同。</w:t>
      </w:r>
    </w:p>
    <w:p>
      <w:pPr>
        <w:adjustRightInd w:val="0"/>
        <w:snapToGrid w:val="0"/>
        <w:spacing w:line="560" w:lineRule="exact"/>
        <w:ind w:firstLine="960" w:firstLineChars="400"/>
        <w:rPr>
          <w:rFonts w:ascii="宋体" w:hAnsi="宋体" w:cs="宋体"/>
          <w:bCs/>
          <w:sz w:val="24"/>
        </w:rPr>
      </w:pPr>
    </w:p>
    <w:p>
      <w:pPr>
        <w:tabs>
          <w:tab w:val="left" w:pos="900"/>
        </w:tabs>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签发日期：   年   月    日</w:t>
      </w:r>
    </w:p>
    <w:p>
      <w:pPr>
        <w:adjustRightInd w:val="0"/>
        <w:snapToGrid w:val="0"/>
        <w:spacing w:line="560" w:lineRule="exact"/>
        <w:rPr>
          <w:rFonts w:ascii="宋体" w:hAnsi="宋体" w:cs="宋体"/>
          <w:bCs/>
          <w:sz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spacing w:line="560" w:lineRule="exact"/>
        <w:rPr>
          <w:rFonts w:ascii="宋体" w:hAnsi="宋体"/>
          <w:bCs/>
          <w:sz w:val="24"/>
        </w:rPr>
      </w:pPr>
      <w:r>
        <w:rPr>
          <w:rFonts w:hint="eastAsia" w:ascii="宋体" w:hAnsi="宋体"/>
          <w:bCs/>
          <w:sz w:val="24"/>
        </w:rPr>
        <w:t xml:space="preserve">                                           </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
          <w:bCs/>
          <w:sz w:val="24"/>
        </w:rPr>
      </w:pPr>
    </w:p>
    <w:p>
      <w:pPr>
        <w:pStyle w:val="31"/>
        <w:ind w:firstLine="241"/>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格式3 营业执照、资质证明等材料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具有独立承担民事责任能力</w:t>
      </w:r>
      <w:r>
        <w:rPr>
          <w:rFonts w:hint="eastAsia" w:ascii="宋体" w:hAnsi="宋体" w:cs="仿宋_GB2312"/>
          <w:b/>
          <w:sz w:val="44"/>
          <w:szCs w:val="44"/>
          <w:lang w:val="en-US" w:eastAsia="zh-CN"/>
        </w:rPr>
        <w:t>及</w:t>
      </w:r>
      <w:r>
        <w:rPr>
          <w:rFonts w:hint="eastAsia" w:ascii="宋体" w:hAnsi="宋体" w:eastAsia="宋体" w:cs="仿宋_GB2312"/>
          <w:b/>
          <w:sz w:val="44"/>
          <w:szCs w:val="44"/>
          <w:lang w:val="en-US" w:eastAsia="zh-CN"/>
        </w:rPr>
        <w:t>软件</w:t>
      </w:r>
      <w:r>
        <w:rPr>
          <w:rFonts w:hint="eastAsia" w:ascii="宋体" w:hAnsi="宋体" w:eastAsia="宋体" w:cs="仿宋_GB2312"/>
          <w:b/>
          <w:sz w:val="44"/>
          <w:szCs w:val="44"/>
        </w:rPr>
        <w:t>或</w:t>
      </w:r>
      <w:r>
        <w:rPr>
          <w:rFonts w:hint="eastAsia" w:ascii="宋体" w:hAnsi="宋体" w:eastAsia="宋体" w:cs="仿宋_GB2312"/>
          <w:b/>
          <w:sz w:val="44"/>
          <w:szCs w:val="44"/>
          <w:lang w:val="en-US" w:eastAsia="zh-CN"/>
        </w:rPr>
        <w:t>互联网应用</w:t>
      </w:r>
      <w:r>
        <w:rPr>
          <w:rFonts w:hint="eastAsia" w:ascii="宋体" w:hAnsi="宋体" w:cs="仿宋_GB2312"/>
          <w:b/>
          <w:sz w:val="44"/>
          <w:szCs w:val="44"/>
          <w:lang w:val="en-US" w:eastAsia="zh-CN"/>
        </w:rPr>
        <w:t>等互联网方面相关经营许可或资质</w:t>
      </w:r>
      <w:r>
        <w:rPr>
          <w:rFonts w:hint="eastAsia" w:ascii="宋体" w:hAnsi="宋体" w:cs="仿宋_GB2312"/>
          <w:b/>
          <w:sz w:val="44"/>
          <w:szCs w:val="44"/>
        </w:rPr>
        <w:t>的在中华人民共和国境内注册的企业法人或其他社会组织，提供营业执照（含经营范围）、资质证明等材料（盖章）</w:t>
      </w:r>
    </w:p>
    <w:p>
      <w:pPr>
        <w:adjustRightInd w:val="0"/>
        <w:snapToGrid w:val="0"/>
        <w:spacing w:line="560" w:lineRule="exact"/>
        <w:jc w:val="center"/>
        <w:rPr>
          <w:rFonts w:hint="eastAsia" w:ascii="宋体" w:hAnsi="宋体" w:cs="仿宋_GB2312"/>
          <w:b/>
          <w:sz w:val="44"/>
          <w:szCs w:val="44"/>
        </w:rPr>
      </w:pP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 xml:space="preserve">格式4 </w:t>
      </w:r>
      <w:r>
        <w:rPr>
          <w:rFonts w:hint="eastAsia" w:ascii="宋体" w:hAnsi="宋体"/>
          <w:b/>
          <w:bCs/>
          <w:sz w:val="24"/>
          <w:lang w:val="en-US" w:eastAsia="zh-CN"/>
        </w:rPr>
        <w:t>技术商务评分响应</w:t>
      </w:r>
      <w:r>
        <w:rPr>
          <w:rFonts w:hint="eastAsia" w:ascii="宋体" w:hAnsi="宋体"/>
          <w:b/>
          <w:bCs/>
          <w:sz w:val="24"/>
        </w:rPr>
        <w:t>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提供技术商务评分响应资料/供应商认为需要</w:t>
      </w:r>
      <w:r>
        <w:rPr>
          <w:rFonts w:hint="eastAsia" w:ascii="宋体" w:hAnsi="宋体" w:cs="仿宋_GB2312"/>
          <w:b/>
          <w:sz w:val="44"/>
          <w:szCs w:val="44"/>
        </w:rPr>
        <w:t>提供</w:t>
      </w:r>
      <w:r>
        <w:rPr>
          <w:rFonts w:hint="eastAsia" w:ascii="宋体" w:hAnsi="宋体" w:cs="仿宋_GB2312"/>
          <w:b/>
          <w:sz w:val="44"/>
          <w:szCs w:val="44"/>
          <w:lang w:val="en-US" w:eastAsia="zh-CN"/>
        </w:rPr>
        <w:t>的其他技术商务资料和说明</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5</w:t>
      </w:r>
      <w:r>
        <w:rPr>
          <w:rFonts w:hint="eastAsia" w:ascii="宋体" w:hAnsi="宋体"/>
          <w:b/>
          <w:bCs/>
          <w:sz w:val="24"/>
        </w:rPr>
        <w:t xml:space="preserve"> </w:t>
      </w:r>
      <w:r>
        <w:rPr>
          <w:rFonts w:hint="eastAsia" w:ascii="宋体" w:hAnsi="宋体"/>
          <w:b/>
          <w:bCs/>
          <w:sz w:val="24"/>
          <w:lang w:val="en-US" w:eastAsia="zh-CN"/>
        </w:rPr>
        <w:t>其他文件</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供应商认为需要提供的其他资料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w:t>
      </w:r>
      <w:r>
        <w:rPr>
          <w:rFonts w:hint="eastAsia" w:ascii="宋体" w:hAnsi="宋体"/>
          <w:b/>
          <w:bCs/>
          <w:sz w:val="24"/>
          <w:lang w:val="en-US" w:eastAsia="zh-CN"/>
        </w:rPr>
        <w:t>6</w:t>
      </w:r>
      <w:r>
        <w:rPr>
          <w:rFonts w:hint="eastAsia" w:ascii="宋体" w:hAnsi="宋体"/>
          <w:b/>
          <w:bCs/>
          <w:sz w:val="24"/>
        </w:rPr>
        <w:t xml:space="preserve"> 报价表</w:t>
      </w:r>
    </w:p>
    <w:p>
      <w:pPr>
        <w:adjustRightInd w:val="0"/>
        <w:snapToGrid w:val="0"/>
        <w:spacing w:line="560" w:lineRule="exact"/>
        <w:rPr>
          <w:rFonts w:ascii="宋体" w:hAnsi="宋体"/>
          <w:b/>
          <w:bCs/>
          <w:sz w:val="24"/>
        </w:rPr>
      </w:pPr>
    </w:p>
    <w:p>
      <w:pPr>
        <w:tabs>
          <w:tab w:val="left" w:pos="900"/>
        </w:tabs>
        <w:spacing w:line="560" w:lineRule="exact"/>
        <w:jc w:val="center"/>
        <w:rPr>
          <w:sz w:val="44"/>
          <w:szCs w:val="44"/>
        </w:rPr>
      </w:pPr>
      <w:r>
        <w:rPr>
          <w:rFonts w:hint="eastAsia" w:ascii="宋体" w:hAnsi="宋体" w:cs="仿宋_GB2312"/>
          <w:b/>
          <w:sz w:val="44"/>
          <w:szCs w:val="44"/>
        </w:rPr>
        <w:t>报价表</w:t>
      </w:r>
    </w:p>
    <w:p>
      <w:pPr>
        <w:adjustRightInd w:val="0"/>
        <w:snapToGrid w:val="0"/>
        <w:spacing w:line="560" w:lineRule="exact"/>
        <w:rPr>
          <w:rFonts w:ascii="宋体" w:hAnsi="宋体" w:cs="宋体"/>
          <w:b/>
          <w:bCs/>
          <w:sz w:val="22"/>
          <w:szCs w:val="22"/>
        </w:rPr>
      </w:pPr>
    </w:p>
    <w:p>
      <w:pPr>
        <w:adjustRightInd w:val="0"/>
        <w:snapToGrid w:val="0"/>
        <w:spacing w:line="560" w:lineRule="exact"/>
        <w:rPr>
          <w:rFonts w:ascii="宋体" w:hAnsi="宋体" w:cs="宋体"/>
          <w:b/>
          <w:bCs/>
          <w:spacing w:val="-11"/>
          <w:sz w:val="24"/>
        </w:rPr>
      </w:pPr>
      <w:r>
        <w:rPr>
          <w:rFonts w:hint="eastAsia" w:ascii="宋体" w:hAnsi="宋体" w:cs="宋体"/>
          <w:b/>
          <w:bCs/>
          <w:spacing w:val="-11"/>
          <w:sz w:val="24"/>
        </w:rPr>
        <w:t>项目名称：中山市公共交通运输集团有限公司</w:t>
      </w:r>
      <w:r>
        <w:rPr>
          <w:rFonts w:hint="eastAsia" w:ascii="宋体" w:hAnsi="宋体" w:cs="宋体"/>
          <w:b/>
          <w:bCs/>
          <w:spacing w:val="-11"/>
          <w:sz w:val="24"/>
          <w:lang w:val="en-US" w:eastAsia="zh-CN"/>
        </w:rPr>
        <w:t>响应式公交平台两年期</w:t>
      </w:r>
      <w:r>
        <w:rPr>
          <w:rFonts w:hint="eastAsia" w:ascii="宋体" w:hAnsi="宋体" w:cs="宋体"/>
          <w:b/>
          <w:bCs/>
          <w:spacing w:val="-11"/>
          <w:sz w:val="24"/>
        </w:rPr>
        <w:t>服务采购项目</w:t>
      </w:r>
    </w:p>
    <w:tbl>
      <w:tblPr>
        <w:tblStyle w:val="33"/>
        <w:tblW w:w="5000" w:type="pct"/>
        <w:tblInd w:w="0" w:type="dxa"/>
        <w:tblLayout w:type="autofit"/>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lang w:eastAsia="zh-CN" w:bidi="ar"/>
              </w:rPr>
              <w:t>需求服务</w:t>
            </w:r>
            <w:r>
              <w:rPr>
                <w:rFonts w:hint="eastAsia" w:ascii="宋体" w:hAnsi="宋体" w:cs="宋体"/>
                <w:color w:val="000000"/>
                <w:kern w:val="0"/>
                <w:sz w:val="24"/>
                <w:lang w:bidi="ar"/>
              </w:rPr>
              <w:t>内容</w:t>
            </w:r>
          </w:p>
        </w:tc>
      </w:tr>
      <w:tr>
        <w:tblPrEx>
          <w:tblCellMar>
            <w:top w:w="0" w:type="dxa"/>
            <w:left w:w="108" w:type="dxa"/>
            <w:bottom w:w="0" w:type="dxa"/>
            <w:right w:w="108" w:type="dxa"/>
          </w:tblCellMar>
        </w:tblPrEx>
        <w:trPr>
          <w:trHeight w:val="13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top"/>
              <w:rPr>
                <w:rFonts w:ascii="宋体" w:hAnsi="宋体" w:cs="宋体"/>
                <w:color w:val="000000"/>
                <w:sz w:val="24"/>
              </w:rPr>
            </w:pPr>
            <w:r>
              <w:rPr>
                <w:rFonts w:hint="eastAsia" w:ascii="宋体" w:hAnsi="宋体" w:eastAsia="宋体" w:cs="宋体"/>
                <w:color w:val="000000"/>
                <w:kern w:val="0"/>
                <w:sz w:val="24"/>
                <w:lang w:val="en-US" w:eastAsia="zh-CN" w:bidi="ar"/>
              </w:rPr>
              <w:t>供应商提供响应式公交平台服务，为中山公交集团开设的“互联网+公交”运营模式公交线路提供技术支撑，保障线路的正常运行。</w:t>
            </w:r>
          </w:p>
        </w:tc>
      </w:tr>
      <w:tr>
        <w:tblPrEx>
          <w:tblCellMar>
            <w:top w:w="0" w:type="dxa"/>
            <w:left w:w="108" w:type="dxa"/>
            <w:bottom w:w="0" w:type="dxa"/>
            <w:right w:w="108" w:type="dxa"/>
          </w:tblCellMar>
        </w:tblPrEx>
        <w:trPr>
          <w:trHeight w:val="868" w:hRule="atLeast"/>
        </w:trPr>
        <w:tc>
          <w:tcPr>
            <w:tcW w:w="500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top"/>
              <w:rPr>
                <w:rFonts w:ascii="宋体" w:hAnsi="宋体" w:cs="宋体"/>
                <w:color w:val="000000"/>
                <w:sz w:val="24"/>
              </w:rPr>
            </w:pPr>
            <w:r>
              <w:rPr>
                <w:rFonts w:hint="eastAsia" w:ascii="宋体" w:hAnsi="宋体" w:cs="宋体"/>
                <w:bCs/>
                <w:sz w:val="24"/>
                <w:lang w:val="en-US" w:eastAsia="zh-CN"/>
              </w:rPr>
              <w:t>服务期：自合同签订之日起两年</w:t>
            </w:r>
            <w:r>
              <w:rPr>
                <w:rFonts w:hint="eastAsia" w:ascii="宋体" w:hAnsi="宋体" w:cs="宋体"/>
                <w:bCs/>
                <w:sz w:val="24"/>
              </w:rPr>
              <w:t>。</w:t>
            </w:r>
          </w:p>
        </w:tc>
      </w:tr>
      <w:tr>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报价（含税）：人民币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元</w:t>
            </w:r>
          </w:p>
        </w:tc>
      </w:tr>
    </w:tbl>
    <w:p>
      <w:pPr>
        <w:adjustRightInd w:val="0"/>
        <w:snapToGrid w:val="0"/>
        <w:spacing w:line="560" w:lineRule="exact"/>
        <w:rPr>
          <w:rFonts w:ascii="宋体" w:hAnsi="宋体"/>
          <w:bCs/>
          <w:sz w:val="24"/>
        </w:rPr>
      </w:pPr>
      <w:r>
        <w:rPr>
          <w:rFonts w:hint="eastAsia" w:ascii="宋体" w:hAnsi="宋体"/>
          <w:bCs/>
          <w:sz w:val="24"/>
        </w:rPr>
        <w:t>注：</w:t>
      </w:r>
    </w:p>
    <w:p>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rPr>
        <w:t>供应商完成上述项目的所需的调研费、报告费、印刷费、包装费、差旅费、售后服务费等一切费用。未经采购人书面同意，供应商不得向采购人额外收取其他费用</w:t>
      </w:r>
      <w:r>
        <w:rPr>
          <w:rFonts w:hint="eastAsia" w:ascii="宋体" w:hAnsi="宋体" w:cs="宋体"/>
          <w:bCs/>
          <w:sz w:val="24"/>
        </w:rPr>
        <w:t>。</w:t>
      </w:r>
    </w:p>
    <w:p>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p>
    <w:p>
      <w:pPr>
        <w:adjustRightInd w:val="0"/>
        <w:snapToGrid w:val="0"/>
        <w:spacing w:line="560" w:lineRule="exact"/>
        <w:rPr>
          <w:rFonts w:ascii="宋体" w:hAnsi="宋体" w:cs="宋体"/>
          <w:bCs/>
          <w:sz w:val="24"/>
        </w:rPr>
      </w:pPr>
      <w:r>
        <w:rPr>
          <w:rFonts w:hint="eastAsia" w:ascii="宋体" w:hAnsi="宋体" w:cs="宋体"/>
          <w:bCs/>
          <w:sz w:val="24"/>
        </w:rPr>
        <w:t>3.报价自报名截止之日后90天内有效。</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Cs/>
          <w:sz w:val="24"/>
        </w:rPr>
      </w:pPr>
      <w:r>
        <w:rPr>
          <w:rFonts w:hint="eastAsia" w:ascii="宋体" w:hAnsi="宋体"/>
          <w:bCs/>
          <w:sz w:val="24"/>
        </w:rPr>
        <w:t xml:space="preserve">参评供应商（盖章）：         </w:t>
      </w:r>
    </w:p>
    <w:p>
      <w:pPr>
        <w:adjustRightInd w:val="0"/>
        <w:snapToGrid w:val="0"/>
        <w:spacing w:line="560" w:lineRule="exact"/>
        <w:rPr>
          <w:rFonts w:ascii="宋体" w:hAnsi="宋体"/>
          <w:bCs/>
          <w:sz w:val="24"/>
        </w:rPr>
      </w:pPr>
      <w:r>
        <w:rPr>
          <w:rFonts w:hint="eastAsia" w:ascii="宋体" w:hAnsi="宋体"/>
          <w:bCs/>
          <w:sz w:val="24"/>
        </w:rPr>
        <w:t>日期：</w:t>
      </w:r>
    </w:p>
    <w:p>
      <w:pPr>
        <w:adjustRightInd w:val="0"/>
        <w:snapToGrid w:val="0"/>
        <w:spacing w:line="560" w:lineRule="exact"/>
        <w:rPr>
          <w:rFonts w:ascii="宋体" w:hAnsi="宋体"/>
          <w:bCs/>
          <w:sz w:val="24"/>
        </w:rPr>
      </w:pPr>
    </w:p>
    <w:p>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7</w:t>
      </w:r>
      <w:r>
        <w:rPr>
          <w:rFonts w:hint="eastAsia" w:ascii="宋体" w:hAnsi="宋体"/>
          <w:b/>
          <w:bCs/>
          <w:sz w:val="24"/>
        </w:rPr>
        <w:t xml:space="preserve"> 需求响应表</w:t>
      </w:r>
    </w:p>
    <w:p>
      <w:pPr>
        <w:spacing w:line="560" w:lineRule="exact"/>
      </w:pPr>
    </w:p>
    <w:p>
      <w:pPr>
        <w:jc w:val="center"/>
        <w:rPr>
          <w:sz w:val="44"/>
          <w:szCs w:val="44"/>
        </w:rPr>
      </w:pPr>
      <w:r>
        <w:rPr>
          <w:rFonts w:hint="eastAsia" w:ascii="宋体" w:hAnsi="宋体" w:cs="仿宋_GB2312"/>
          <w:b/>
          <w:sz w:val="44"/>
          <w:szCs w:val="44"/>
        </w:rPr>
        <w:t>需求响应表</w:t>
      </w:r>
    </w:p>
    <w:p>
      <w:pPr>
        <w:adjustRightInd w:val="0"/>
        <w:snapToGrid w:val="0"/>
        <w:spacing w:line="560" w:lineRule="exact"/>
        <w:jc w:val="left"/>
        <w:rPr>
          <w:rFonts w:ascii="宋体" w:hAnsi="宋体" w:cs="宋体"/>
          <w:b/>
          <w:bCs/>
          <w:sz w:val="24"/>
        </w:rPr>
      </w:pPr>
    </w:p>
    <w:p>
      <w:pPr>
        <w:adjustRightInd w:val="0"/>
        <w:snapToGrid w:val="0"/>
        <w:spacing w:line="560" w:lineRule="exact"/>
        <w:jc w:val="left"/>
        <w:rPr>
          <w:spacing w:val="-11"/>
          <w:sz w:val="44"/>
          <w:szCs w:val="44"/>
        </w:rPr>
      </w:pPr>
      <w:r>
        <w:rPr>
          <w:rFonts w:hint="eastAsia" w:ascii="宋体" w:hAnsi="宋体" w:cs="宋体"/>
          <w:b/>
          <w:bCs/>
          <w:spacing w:val="-11"/>
          <w:sz w:val="24"/>
        </w:rPr>
        <w:t>项目名称：中山市公共交通运输集团有限公司</w:t>
      </w:r>
      <w:r>
        <w:rPr>
          <w:rFonts w:hint="eastAsia" w:ascii="宋体" w:hAnsi="宋体" w:cs="宋体"/>
          <w:b/>
          <w:bCs/>
          <w:spacing w:val="-11"/>
          <w:sz w:val="24"/>
          <w:lang w:val="en-US" w:eastAsia="zh-CN"/>
        </w:rPr>
        <w:t>响应式公交平台两年期</w:t>
      </w:r>
      <w:r>
        <w:rPr>
          <w:rFonts w:hint="eastAsia" w:ascii="宋体" w:hAnsi="宋体" w:cs="宋体"/>
          <w:b/>
          <w:bCs/>
          <w:spacing w:val="-11"/>
          <w:sz w:val="24"/>
        </w:rPr>
        <w:t>服务采购项目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jc w:val="center"/>
              <w:rPr>
                <w:rFonts w:ascii="宋体" w:hAnsi="宋体"/>
                <w:b/>
                <w:szCs w:val="21"/>
              </w:rPr>
            </w:pPr>
            <w:r>
              <w:rPr>
                <w:rFonts w:hint="eastAsia" w:ascii="宋体" w:hAnsi="宋体"/>
                <w:b/>
                <w:szCs w:val="21"/>
              </w:rPr>
              <w:t>序号</w:t>
            </w:r>
          </w:p>
        </w:tc>
        <w:tc>
          <w:tcPr>
            <w:tcW w:w="4945" w:type="dxa"/>
            <w:vAlign w:val="center"/>
          </w:tcPr>
          <w:p>
            <w:pPr>
              <w:jc w:val="center"/>
              <w:rPr>
                <w:rFonts w:ascii="宋体" w:hAnsi="宋体"/>
                <w:b/>
                <w:szCs w:val="21"/>
              </w:rPr>
            </w:pPr>
            <w:r>
              <w:rPr>
                <w:rFonts w:hint="eastAsia" w:ascii="宋体" w:hAnsi="宋体"/>
                <w:b/>
                <w:szCs w:val="21"/>
              </w:rPr>
              <w:t>条款要求</w:t>
            </w:r>
          </w:p>
        </w:tc>
        <w:tc>
          <w:tcPr>
            <w:tcW w:w="1642" w:type="dxa"/>
            <w:vAlign w:val="center"/>
          </w:tcPr>
          <w:p>
            <w:pPr>
              <w:jc w:val="center"/>
              <w:rPr>
                <w:rFonts w:ascii="宋体" w:hAnsi="宋体"/>
                <w:b/>
                <w:szCs w:val="21"/>
              </w:rPr>
            </w:pPr>
            <w:r>
              <w:rPr>
                <w:rFonts w:hint="eastAsia" w:ascii="宋体" w:hAnsi="宋体"/>
                <w:b/>
                <w:szCs w:val="21"/>
              </w:rPr>
              <w:t>响应情况</w:t>
            </w:r>
          </w:p>
        </w:tc>
        <w:tc>
          <w:tcPr>
            <w:tcW w:w="1769" w:type="dxa"/>
            <w:vAlign w:val="center"/>
          </w:tcPr>
          <w:p>
            <w:pPr>
              <w:jc w:val="center"/>
              <w:rPr>
                <w:rFonts w:ascii="宋体" w:hAnsi="宋体"/>
                <w:b/>
                <w:szCs w:val="21"/>
              </w:rPr>
            </w:pPr>
            <w:r>
              <w:rPr>
                <w:rFonts w:hint="eastAsia" w:ascii="宋体" w:hAnsi="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1</w:t>
            </w:r>
          </w:p>
        </w:tc>
        <w:tc>
          <w:tcPr>
            <w:tcW w:w="4945" w:type="dxa"/>
            <w:vAlign w:val="center"/>
          </w:tcPr>
          <w:p>
            <w:pPr>
              <w:wordWrap w:val="0"/>
              <w:rPr>
                <w:rFonts w:ascii="宋体" w:hAnsi="宋体"/>
                <w:szCs w:val="21"/>
              </w:rPr>
            </w:pPr>
            <w:r>
              <w:rPr>
                <w:rFonts w:hint="eastAsia" w:ascii="宋体" w:hAnsi="宋体"/>
                <w:szCs w:val="21"/>
              </w:rPr>
              <w:t>完全理解并接受评选文件</w:t>
            </w:r>
            <w:r>
              <w:rPr>
                <w:rFonts w:hint="eastAsia" w:ascii="宋体" w:hAnsi="宋体"/>
                <w:szCs w:val="21"/>
                <w:lang w:val="en-GB"/>
              </w:rPr>
              <w:t>所列</w:t>
            </w:r>
            <w:r>
              <w:rPr>
                <w:rFonts w:hint="eastAsia" w:ascii="宋体" w:hAnsi="宋体"/>
                <w:szCs w:val="21"/>
              </w:rPr>
              <w:t>条款的要求。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2</w:t>
            </w:r>
          </w:p>
        </w:tc>
        <w:tc>
          <w:tcPr>
            <w:tcW w:w="4945" w:type="dxa"/>
            <w:vAlign w:val="center"/>
          </w:tcPr>
          <w:p>
            <w:pPr>
              <w:wordWrap w:val="0"/>
              <w:rPr>
                <w:rFonts w:ascii="宋体" w:hAnsi="宋体"/>
                <w:szCs w:val="21"/>
              </w:rPr>
            </w:pPr>
            <w:r>
              <w:rPr>
                <w:rFonts w:hint="eastAsia" w:ascii="宋体" w:hAnsi="宋体"/>
                <w:szCs w:val="21"/>
              </w:rPr>
              <w:t>完全理解供应商资质要求。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3</w:t>
            </w:r>
          </w:p>
        </w:tc>
        <w:tc>
          <w:tcPr>
            <w:tcW w:w="4945" w:type="dxa"/>
            <w:vAlign w:val="center"/>
          </w:tcPr>
          <w:p>
            <w:pPr>
              <w:wordWrap w:val="0"/>
              <w:rPr>
                <w:rFonts w:ascii="宋体" w:hAnsi="宋体"/>
                <w:szCs w:val="21"/>
              </w:rPr>
            </w:pPr>
            <w:r>
              <w:rPr>
                <w:rFonts w:hint="eastAsia" w:ascii="宋体" w:hAnsi="宋体"/>
                <w:szCs w:val="21"/>
              </w:rPr>
              <w:t>完全理解并接受对参评供应商的各项须知、规约要求和责任义务。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4</w:t>
            </w:r>
          </w:p>
        </w:tc>
        <w:tc>
          <w:tcPr>
            <w:tcW w:w="4945" w:type="dxa"/>
            <w:vAlign w:val="center"/>
          </w:tcPr>
          <w:p>
            <w:pPr>
              <w:wordWrap w:val="0"/>
              <w:rPr>
                <w:rFonts w:ascii="宋体" w:hAnsi="宋体"/>
                <w:szCs w:val="21"/>
              </w:rPr>
            </w:pPr>
            <w:r>
              <w:rPr>
                <w:rFonts w:hint="eastAsia" w:ascii="宋体" w:hAnsi="宋体"/>
                <w:szCs w:val="21"/>
              </w:rPr>
              <w:t>用户需求书</w:t>
            </w:r>
            <w:r>
              <w:rPr>
                <w:rFonts w:hint="eastAsia" w:ascii="宋体" w:hAnsi="宋体"/>
                <w:szCs w:val="21"/>
                <w:lang w:val="en-US" w:eastAsia="zh-CN"/>
              </w:rPr>
              <w:t>中的</w:t>
            </w:r>
            <w:r>
              <w:rPr>
                <w:rFonts w:hint="eastAsia" w:ascii="宋体" w:hAnsi="宋体" w:cs="Times New Roman"/>
                <w:bCs w:val="0"/>
                <w:sz w:val="21"/>
                <w:szCs w:val="21"/>
                <w:lang w:val="en-US" w:eastAsia="zh-CN"/>
              </w:rPr>
              <w:t>服务</w:t>
            </w:r>
            <w:r>
              <w:rPr>
                <w:rFonts w:hint="eastAsia" w:ascii="宋体" w:hAnsi="宋体" w:cs="Times New Roman"/>
                <w:bCs w:val="0"/>
                <w:sz w:val="21"/>
                <w:szCs w:val="21"/>
              </w:rPr>
              <w:t>内容</w:t>
            </w:r>
            <w:r>
              <w:rPr>
                <w:rFonts w:hint="eastAsia" w:ascii="宋体" w:hAnsi="宋体" w:cs="Times New Roman"/>
                <w:bCs w:val="0"/>
                <w:sz w:val="21"/>
                <w:szCs w:val="21"/>
                <w:lang w:val="en-US" w:eastAsia="zh-CN"/>
              </w:rPr>
              <w:t>及</w:t>
            </w:r>
            <w:r>
              <w:rPr>
                <w:rFonts w:hint="eastAsia" w:ascii="宋体" w:hAnsi="宋体"/>
                <w:szCs w:val="21"/>
              </w:rPr>
              <w:t>要求。</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5</w:t>
            </w:r>
          </w:p>
        </w:tc>
        <w:tc>
          <w:tcPr>
            <w:tcW w:w="4945" w:type="dxa"/>
            <w:vAlign w:val="center"/>
          </w:tcPr>
          <w:p>
            <w:pPr>
              <w:wordWrap w:val="0"/>
              <w:rPr>
                <w:rFonts w:ascii="宋体" w:hAnsi="宋体"/>
                <w:szCs w:val="21"/>
              </w:rPr>
            </w:pPr>
            <w:r>
              <w:rPr>
                <w:rFonts w:hint="eastAsia" w:ascii="宋体" w:hAnsi="宋体"/>
                <w:szCs w:val="21"/>
              </w:rPr>
              <w:t>付款方式。</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pStyle w:val="63"/>
              <w:keepNext w:val="0"/>
              <w:adjustRightInd/>
              <w:spacing w:before="0" w:after="0" w:line="240" w:lineRule="auto"/>
              <w:textAlignment w:val="auto"/>
              <w:rPr>
                <w:rFonts w:ascii="宋体" w:hAnsi="宋体"/>
                <w:snapToGrid/>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6</w:t>
            </w:r>
          </w:p>
        </w:tc>
        <w:tc>
          <w:tcPr>
            <w:tcW w:w="4945" w:type="dxa"/>
            <w:vAlign w:val="center"/>
          </w:tcPr>
          <w:p>
            <w:pPr>
              <w:wordWrap w:val="0"/>
              <w:rPr>
                <w:rFonts w:ascii="宋体" w:hAnsi="宋体"/>
                <w:szCs w:val="21"/>
              </w:rPr>
            </w:pPr>
            <w:r>
              <w:rPr>
                <w:rFonts w:hint="eastAsia" w:ascii="宋体" w:hAnsi="宋体"/>
                <w:szCs w:val="21"/>
              </w:rPr>
              <w:t>报价内容均涵盖报价要求之一切费用和伴随服务。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7</w:t>
            </w:r>
          </w:p>
        </w:tc>
        <w:tc>
          <w:tcPr>
            <w:tcW w:w="4945" w:type="dxa"/>
            <w:vAlign w:val="center"/>
          </w:tcPr>
          <w:p>
            <w:pPr>
              <w:wordWrap w:val="0"/>
              <w:rPr>
                <w:rFonts w:ascii="宋体" w:hAnsi="宋体"/>
                <w:szCs w:val="21"/>
              </w:rPr>
            </w:pPr>
            <w:r>
              <w:rPr>
                <w:rFonts w:hint="eastAsia" w:ascii="宋体" w:hAnsi="宋体"/>
                <w:szCs w:val="21"/>
              </w:rPr>
              <w:t>同意采购人以任何形式对我方参评文件内容的真实性和有效性进行审查、验证。</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bl>
    <w:p>
      <w:pPr>
        <w:ind w:left="630" w:hanging="630" w:hangingChars="300"/>
        <w:jc w:val="left"/>
        <w:rPr>
          <w:rFonts w:ascii="宋体" w:hAnsi="宋体"/>
          <w:szCs w:val="21"/>
          <w:lang w:val="en-GB"/>
        </w:rPr>
      </w:pPr>
    </w:p>
    <w:p>
      <w:pPr>
        <w:jc w:val="left"/>
        <w:rPr>
          <w:sz w:val="44"/>
          <w:szCs w:val="44"/>
        </w:rPr>
      </w:pPr>
      <w:r>
        <w:rPr>
          <w:rFonts w:hint="eastAsia" w:ascii="宋体" w:hAnsi="宋体"/>
          <w:szCs w:val="21"/>
        </w:rPr>
        <w:t>注：对于上述要求，如参评供应商完全响应，则请在“响应情况”栏的“完全响应”框打“√”，对空白或“部分响应”框打“√”视为偏离，请在“偏离说明”栏内扼要说明偏离情况。</w:t>
      </w:r>
    </w:p>
    <w:p>
      <w:pPr>
        <w:jc w:val="center"/>
        <w:rPr>
          <w:sz w:val="44"/>
          <w:szCs w:val="44"/>
        </w:rPr>
      </w:pPr>
    </w:p>
    <w:p>
      <w:pPr>
        <w:adjustRightInd w:val="0"/>
        <w:snapToGrid w:val="0"/>
        <w:spacing w:line="560" w:lineRule="exact"/>
        <w:rPr>
          <w:rFonts w:ascii="宋体" w:hAnsi="宋体"/>
          <w:bCs/>
          <w:sz w:val="24"/>
        </w:rPr>
      </w:pPr>
      <w:r>
        <w:rPr>
          <w:rFonts w:hint="eastAsia" w:ascii="宋体" w:hAnsi="宋体"/>
          <w:bCs/>
          <w:sz w:val="24"/>
        </w:rPr>
        <w:t>参评供应商（盖章）：</w:t>
      </w:r>
    </w:p>
    <w:p>
      <w:pPr>
        <w:adjustRightInd w:val="0"/>
        <w:snapToGrid w:val="0"/>
        <w:spacing w:line="560" w:lineRule="exact"/>
        <w:rPr>
          <w:rFonts w:ascii="宋体" w:hAnsi="宋体" w:cs="宋体"/>
          <w:sz w:val="24"/>
        </w:rPr>
      </w:pPr>
      <w:r>
        <w:rPr>
          <w:rFonts w:hint="eastAsia" w:ascii="宋体" w:hAnsi="宋体"/>
          <w:bCs/>
          <w:sz w:val="24"/>
        </w:rPr>
        <w:t>日期：</w:t>
      </w:r>
    </w:p>
    <w:p>
      <w:pPr>
        <w:rPr>
          <w:rFonts w:ascii="宋体" w:hAnsi="宋体" w:cs="宋体"/>
          <w:sz w:val="24"/>
        </w:rPr>
      </w:pPr>
    </w:p>
    <w:p>
      <w:pPr>
        <w:pStyle w:val="13"/>
        <w:rPr>
          <w:rFonts w:ascii="宋体" w:hAnsi="宋体" w:cs="宋体"/>
          <w:sz w:val="24"/>
          <w:szCs w:val="24"/>
        </w:rPr>
      </w:pPr>
    </w:p>
    <w:p>
      <w:pPr>
        <w:rPr>
          <w:rFonts w:ascii="宋体" w:hAnsi="宋体" w:cs="宋体"/>
          <w:sz w:val="24"/>
        </w:rPr>
      </w:pPr>
    </w:p>
    <w:p>
      <w:pPr>
        <w:pStyle w:val="13"/>
        <w:rPr>
          <w:rFonts w:ascii="宋体" w:hAnsi="宋体" w:cs="宋体"/>
          <w:sz w:val="24"/>
          <w:szCs w:val="24"/>
        </w:rPr>
      </w:pPr>
    </w:p>
    <w:p>
      <w:pPr>
        <w:rPr>
          <w:rFonts w:ascii="宋体" w:hAnsi="宋体" w:cs="宋体"/>
          <w:sz w:val="24"/>
        </w:rPr>
      </w:pPr>
    </w:p>
    <w:p>
      <w:pPr>
        <w:pStyle w:val="13"/>
        <w:rPr>
          <w:rFonts w:ascii="宋体" w:hAnsi="宋体" w:cs="宋体"/>
          <w:sz w:val="24"/>
          <w:szCs w:val="24"/>
        </w:rPr>
      </w:pPr>
    </w:p>
    <w:bookmarkEnd w:id="0"/>
    <w:bookmarkEnd w:id="4"/>
    <w:p>
      <w:pPr>
        <w:pStyle w:val="13"/>
      </w:pPr>
    </w:p>
    <w:sectPr>
      <w:headerReference r:id="rId15" w:type="default"/>
      <w:footerReference r:id="rId16"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ZTY4MGJmOTIwOGFkMWE2MDg2YzgwNDMzZThmY2MifQ=="/>
    <w:docVar w:name="KSO_WPS_MARK_KEY" w:val="73c939c1-a602-45b0-af69-6c2c8778f4a7"/>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81630AE"/>
    <w:rsid w:val="083E2775"/>
    <w:rsid w:val="084D157A"/>
    <w:rsid w:val="08611CE7"/>
    <w:rsid w:val="086766A0"/>
    <w:rsid w:val="086C1CAF"/>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B038FA"/>
    <w:rsid w:val="0AB42826"/>
    <w:rsid w:val="0ACE526C"/>
    <w:rsid w:val="0ACF685A"/>
    <w:rsid w:val="0ADD0260"/>
    <w:rsid w:val="0B1378FA"/>
    <w:rsid w:val="0B176497"/>
    <w:rsid w:val="0B210255"/>
    <w:rsid w:val="0B627B1C"/>
    <w:rsid w:val="0B7569DD"/>
    <w:rsid w:val="0BDC6240"/>
    <w:rsid w:val="0C470E4E"/>
    <w:rsid w:val="0C567B94"/>
    <w:rsid w:val="0C5A35C8"/>
    <w:rsid w:val="0C724156"/>
    <w:rsid w:val="0C961F39"/>
    <w:rsid w:val="0CAB7001"/>
    <w:rsid w:val="0CAD5F38"/>
    <w:rsid w:val="0CB908B9"/>
    <w:rsid w:val="0CB9349C"/>
    <w:rsid w:val="0CD043B5"/>
    <w:rsid w:val="0CD64A3A"/>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8D724C"/>
    <w:rsid w:val="0E9111D2"/>
    <w:rsid w:val="0E91595E"/>
    <w:rsid w:val="0EB649B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C78B1"/>
    <w:rsid w:val="13A37C7E"/>
    <w:rsid w:val="13B50586"/>
    <w:rsid w:val="13C27156"/>
    <w:rsid w:val="14131A4D"/>
    <w:rsid w:val="14172225"/>
    <w:rsid w:val="142B7F7D"/>
    <w:rsid w:val="14424B94"/>
    <w:rsid w:val="1448764C"/>
    <w:rsid w:val="146E1654"/>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6FC3E17"/>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807457"/>
    <w:rsid w:val="1B832885"/>
    <w:rsid w:val="1B952E18"/>
    <w:rsid w:val="1BAD4107"/>
    <w:rsid w:val="1BB10A56"/>
    <w:rsid w:val="1C1B17CC"/>
    <w:rsid w:val="1C35198D"/>
    <w:rsid w:val="1C3A1777"/>
    <w:rsid w:val="1C3B0523"/>
    <w:rsid w:val="1C3B7E7E"/>
    <w:rsid w:val="1C4933F0"/>
    <w:rsid w:val="1C626417"/>
    <w:rsid w:val="1C991EF3"/>
    <w:rsid w:val="1CAE4C75"/>
    <w:rsid w:val="1CB97042"/>
    <w:rsid w:val="1CC50B01"/>
    <w:rsid w:val="1CD8293B"/>
    <w:rsid w:val="1CDA33E7"/>
    <w:rsid w:val="1D0A2E3C"/>
    <w:rsid w:val="1D1711DB"/>
    <w:rsid w:val="1D30010B"/>
    <w:rsid w:val="1D492FA7"/>
    <w:rsid w:val="1D4F721C"/>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70BD0"/>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BE3F20"/>
    <w:rsid w:val="29CD6E0B"/>
    <w:rsid w:val="29DB7009"/>
    <w:rsid w:val="29E12779"/>
    <w:rsid w:val="29F274D9"/>
    <w:rsid w:val="29F54660"/>
    <w:rsid w:val="2A074834"/>
    <w:rsid w:val="2A1A4B90"/>
    <w:rsid w:val="2A6E077A"/>
    <w:rsid w:val="2A7C537A"/>
    <w:rsid w:val="2A8D0BC5"/>
    <w:rsid w:val="2A9D6489"/>
    <w:rsid w:val="2AAE5511"/>
    <w:rsid w:val="2B1F2251"/>
    <w:rsid w:val="2B3A611D"/>
    <w:rsid w:val="2B3A7863"/>
    <w:rsid w:val="2B4A23FD"/>
    <w:rsid w:val="2B5F4365"/>
    <w:rsid w:val="2B836CA6"/>
    <w:rsid w:val="2B857219"/>
    <w:rsid w:val="2B8E2A76"/>
    <w:rsid w:val="2B972B67"/>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6A167A"/>
    <w:rsid w:val="2DB37418"/>
    <w:rsid w:val="2E0010BE"/>
    <w:rsid w:val="2E065750"/>
    <w:rsid w:val="2E2703EA"/>
    <w:rsid w:val="2E632F3C"/>
    <w:rsid w:val="2ECB42D1"/>
    <w:rsid w:val="2ECD0CBF"/>
    <w:rsid w:val="2EEE2F8B"/>
    <w:rsid w:val="2EFE112F"/>
    <w:rsid w:val="2F143137"/>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0F07905"/>
    <w:rsid w:val="31283BB5"/>
    <w:rsid w:val="312F419E"/>
    <w:rsid w:val="31434320"/>
    <w:rsid w:val="31486F2C"/>
    <w:rsid w:val="315D757E"/>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A21994"/>
    <w:rsid w:val="34B1413D"/>
    <w:rsid w:val="34B46FD2"/>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9850D3"/>
    <w:rsid w:val="379B2ED6"/>
    <w:rsid w:val="379D4EBE"/>
    <w:rsid w:val="37A30CFD"/>
    <w:rsid w:val="37A72FFE"/>
    <w:rsid w:val="37B26DB8"/>
    <w:rsid w:val="37D50473"/>
    <w:rsid w:val="37FE1E64"/>
    <w:rsid w:val="38203191"/>
    <w:rsid w:val="383E5D60"/>
    <w:rsid w:val="384D1B5D"/>
    <w:rsid w:val="385A0EAA"/>
    <w:rsid w:val="385D408A"/>
    <w:rsid w:val="386A6F5A"/>
    <w:rsid w:val="386B4E07"/>
    <w:rsid w:val="3881359D"/>
    <w:rsid w:val="3899362A"/>
    <w:rsid w:val="38B17492"/>
    <w:rsid w:val="38EF2E3F"/>
    <w:rsid w:val="38F75971"/>
    <w:rsid w:val="39183F7E"/>
    <w:rsid w:val="391C0FB5"/>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A315F0"/>
    <w:rsid w:val="45B953B2"/>
    <w:rsid w:val="45FA5263"/>
    <w:rsid w:val="46420936"/>
    <w:rsid w:val="46456F86"/>
    <w:rsid w:val="466510E8"/>
    <w:rsid w:val="46793B1E"/>
    <w:rsid w:val="46851570"/>
    <w:rsid w:val="472407E9"/>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E70F87"/>
    <w:rsid w:val="48FE718B"/>
    <w:rsid w:val="49172519"/>
    <w:rsid w:val="491931DD"/>
    <w:rsid w:val="491A21ED"/>
    <w:rsid w:val="493A2D00"/>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01718"/>
    <w:rsid w:val="4A807A85"/>
    <w:rsid w:val="4A866F35"/>
    <w:rsid w:val="4A995C7E"/>
    <w:rsid w:val="4A9B56ED"/>
    <w:rsid w:val="4AA61F8B"/>
    <w:rsid w:val="4AB82F3C"/>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74FC"/>
    <w:rsid w:val="4DCA2651"/>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61724C"/>
    <w:rsid w:val="50AA36E0"/>
    <w:rsid w:val="50E63666"/>
    <w:rsid w:val="50EC3059"/>
    <w:rsid w:val="519611B1"/>
    <w:rsid w:val="52161328"/>
    <w:rsid w:val="522C54FE"/>
    <w:rsid w:val="523E3D8C"/>
    <w:rsid w:val="524A4C06"/>
    <w:rsid w:val="525B5AA9"/>
    <w:rsid w:val="52603955"/>
    <w:rsid w:val="52972888"/>
    <w:rsid w:val="52AB2167"/>
    <w:rsid w:val="52AC506F"/>
    <w:rsid w:val="52CC3259"/>
    <w:rsid w:val="52DC7ADA"/>
    <w:rsid w:val="52EE16A6"/>
    <w:rsid w:val="52EE4555"/>
    <w:rsid w:val="530F7F4A"/>
    <w:rsid w:val="535449BE"/>
    <w:rsid w:val="53580116"/>
    <w:rsid w:val="53716767"/>
    <w:rsid w:val="53765375"/>
    <w:rsid w:val="53A7323B"/>
    <w:rsid w:val="53B44984"/>
    <w:rsid w:val="53B73D24"/>
    <w:rsid w:val="53DE30B3"/>
    <w:rsid w:val="53E82400"/>
    <w:rsid w:val="53F5446E"/>
    <w:rsid w:val="541115C4"/>
    <w:rsid w:val="54421842"/>
    <w:rsid w:val="54566DBB"/>
    <w:rsid w:val="546F7B53"/>
    <w:rsid w:val="54783BB9"/>
    <w:rsid w:val="54E0593D"/>
    <w:rsid w:val="551C775D"/>
    <w:rsid w:val="553F0A67"/>
    <w:rsid w:val="55402FB8"/>
    <w:rsid w:val="555464AA"/>
    <w:rsid w:val="555A05A2"/>
    <w:rsid w:val="55943D4D"/>
    <w:rsid w:val="55AD79E6"/>
    <w:rsid w:val="55DB4F23"/>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61C66"/>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11AD5"/>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407BFB"/>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A313E9"/>
    <w:rsid w:val="68BE1513"/>
    <w:rsid w:val="6945758D"/>
    <w:rsid w:val="695B08E4"/>
    <w:rsid w:val="697A7BC6"/>
    <w:rsid w:val="69A17E74"/>
    <w:rsid w:val="69A736F2"/>
    <w:rsid w:val="6A6148DC"/>
    <w:rsid w:val="6A622CA8"/>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4B6345"/>
    <w:rsid w:val="6CA56566"/>
    <w:rsid w:val="6CB6087E"/>
    <w:rsid w:val="6D005DA3"/>
    <w:rsid w:val="6D0E4BFD"/>
    <w:rsid w:val="6D830B7D"/>
    <w:rsid w:val="6D9914F3"/>
    <w:rsid w:val="6DD14EB6"/>
    <w:rsid w:val="6E0779B6"/>
    <w:rsid w:val="6E3F02ED"/>
    <w:rsid w:val="6E44547D"/>
    <w:rsid w:val="6E5A3889"/>
    <w:rsid w:val="6E671002"/>
    <w:rsid w:val="6E866A33"/>
    <w:rsid w:val="6E96509E"/>
    <w:rsid w:val="6E9817E3"/>
    <w:rsid w:val="6EDA2090"/>
    <w:rsid w:val="6EE21295"/>
    <w:rsid w:val="6EF709D3"/>
    <w:rsid w:val="6EFE5D0F"/>
    <w:rsid w:val="6F0B7C94"/>
    <w:rsid w:val="6F227EA1"/>
    <w:rsid w:val="6F2F4126"/>
    <w:rsid w:val="6F396F64"/>
    <w:rsid w:val="6F516762"/>
    <w:rsid w:val="6F6E5034"/>
    <w:rsid w:val="6F814D09"/>
    <w:rsid w:val="6FAD2D94"/>
    <w:rsid w:val="6FBF1882"/>
    <w:rsid w:val="6FC40412"/>
    <w:rsid w:val="6FC512C7"/>
    <w:rsid w:val="6FDD529B"/>
    <w:rsid w:val="6FF72C1C"/>
    <w:rsid w:val="704B27CA"/>
    <w:rsid w:val="70517453"/>
    <w:rsid w:val="70906757"/>
    <w:rsid w:val="70DC17CE"/>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71B23"/>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4F76549"/>
    <w:rsid w:val="75006A13"/>
    <w:rsid w:val="75143C10"/>
    <w:rsid w:val="751E3E47"/>
    <w:rsid w:val="753C2ACE"/>
    <w:rsid w:val="753E6CEC"/>
    <w:rsid w:val="7553542F"/>
    <w:rsid w:val="7554378C"/>
    <w:rsid w:val="75560F56"/>
    <w:rsid w:val="755D28D9"/>
    <w:rsid w:val="756C2266"/>
    <w:rsid w:val="7577343F"/>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341DE"/>
    <w:rsid w:val="77266ECD"/>
    <w:rsid w:val="77274014"/>
    <w:rsid w:val="772E60A5"/>
    <w:rsid w:val="772F49B7"/>
    <w:rsid w:val="775B3643"/>
    <w:rsid w:val="7775620B"/>
    <w:rsid w:val="777E15A5"/>
    <w:rsid w:val="777E76EA"/>
    <w:rsid w:val="77DF669D"/>
    <w:rsid w:val="77E6256B"/>
    <w:rsid w:val="780178D3"/>
    <w:rsid w:val="78101057"/>
    <w:rsid w:val="78270079"/>
    <w:rsid w:val="785F2C67"/>
    <w:rsid w:val="789B03CD"/>
    <w:rsid w:val="78AF50A2"/>
    <w:rsid w:val="78BB50B5"/>
    <w:rsid w:val="78D53072"/>
    <w:rsid w:val="78E72717"/>
    <w:rsid w:val="78FA33E7"/>
    <w:rsid w:val="790229FE"/>
    <w:rsid w:val="79071BED"/>
    <w:rsid w:val="79134DAF"/>
    <w:rsid w:val="791A2350"/>
    <w:rsid w:val="791F10DC"/>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184A9C"/>
    <w:rsid w:val="7A3129A1"/>
    <w:rsid w:val="7A376B29"/>
    <w:rsid w:val="7A3B60F8"/>
    <w:rsid w:val="7A423EEC"/>
    <w:rsid w:val="7A703649"/>
    <w:rsid w:val="7AA4325F"/>
    <w:rsid w:val="7AB65128"/>
    <w:rsid w:val="7ABE350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F3D5AF2"/>
    <w:rsid w:val="7F4133F6"/>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578" w:lineRule="auto"/>
      <w:outlineLvl w:val="0"/>
    </w:pPr>
    <w:rPr>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0"/>
    <w:qFormat/>
    <w:uiPriority w:val="0"/>
    <w:rPr>
      <w:rFonts w:ascii="宋体"/>
      <w:sz w:val="24"/>
    </w:rPr>
  </w:style>
  <w:style w:type="paragraph" w:styleId="11">
    <w:name w:val="annotation text"/>
    <w:basedOn w:val="1"/>
    <w:link w:val="41"/>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spacing w:line="360" w:lineRule="auto"/>
      <w:ind w:left="608" w:hanging="608"/>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annotation subject"/>
    <w:basedOn w:val="11"/>
    <w:next w:val="11"/>
    <w:link w:val="43"/>
    <w:qFormat/>
    <w:uiPriority w:val="0"/>
    <w:pPr>
      <w:widowControl w:val="0"/>
    </w:pPr>
    <w:rPr>
      <w:b/>
      <w:bCs/>
      <w:kern w:val="2"/>
      <w:szCs w:val="24"/>
    </w:rPr>
  </w:style>
  <w:style w:type="paragraph" w:styleId="31">
    <w:name w:val="Body Text First Indent"/>
    <w:basedOn w:val="1"/>
    <w:next w:val="1"/>
    <w:qFormat/>
    <w:uiPriority w:val="0"/>
    <w:pPr>
      <w:spacing w:after="120"/>
      <w:ind w:firstLine="420" w:firstLineChars="100"/>
    </w:pPr>
  </w:style>
  <w:style w:type="paragraph" w:styleId="32">
    <w:name w:val="Body Text First Indent 2"/>
    <w:basedOn w:val="14"/>
    <w:qFormat/>
    <w:uiPriority w:val="0"/>
    <w:pPr>
      <w:snapToGrid w:val="0"/>
      <w:spacing w:after="120"/>
      <w:ind w:left="420" w:firstLine="420" w:firstLineChars="200"/>
    </w:pPr>
    <w:rPr>
      <w:rFonts w:ascii="Tahoma" w:hAnsi="Tahom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字符"/>
    <w:link w:val="10"/>
    <w:qFormat/>
    <w:uiPriority w:val="0"/>
    <w:rPr>
      <w:rFonts w:ascii="宋体"/>
      <w:kern w:val="2"/>
      <w:sz w:val="24"/>
      <w:szCs w:val="24"/>
    </w:rPr>
  </w:style>
  <w:style w:type="character" w:customStyle="1" w:styleId="41">
    <w:name w:val="批注文字 字符"/>
    <w:link w:val="11"/>
    <w:qFormat/>
    <w:uiPriority w:val="99"/>
    <w:rPr>
      <w:sz w:val="21"/>
    </w:rPr>
  </w:style>
  <w:style w:type="character" w:customStyle="1" w:styleId="42">
    <w:name w:val="批注框文本 字符"/>
    <w:link w:val="19"/>
    <w:qFormat/>
    <w:uiPriority w:val="0"/>
    <w:rPr>
      <w:kern w:val="2"/>
      <w:sz w:val="18"/>
      <w:szCs w:val="18"/>
    </w:rPr>
  </w:style>
  <w:style w:type="character" w:customStyle="1" w:styleId="43">
    <w:name w:val="批注主题 字符"/>
    <w:link w:val="30"/>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9"/>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5988</Words>
  <Characters>6268</Characters>
  <Lines>51</Lines>
  <Paragraphs>14</Paragraphs>
  <TotalTime>62</TotalTime>
  <ScaleCrop>false</ScaleCrop>
  <LinksUpToDate>false</LinksUpToDate>
  <CharactersWithSpaces>6536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Admin</cp:lastModifiedBy>
  <cp:lastPrinted>2024-01-05T06:18:00Z</cp:lastPrinted>
  <dcterms:modified xsi:type="dcterms:W3CDTF">2024-01-15T08:03:39Z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C3E2A83751FA443BAF87B28F380EE3C0_13</vt:lpwstr>
  </property>
</Properties>
</file>