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DE05E">
      <w:pPr>
        <w:widowControl/>
        <w:spacing w:line="360" w:lineRule="atLeast"/>
        <w:jc w:val="left"/>
        <w:outlineLvl w:val="0"/>
        <w:rPr>
          <w:rFonts w:hint="default" w:ascii="黑体" w:hAnsi="黑体" w:eastAsia="黑体" w:cs="黑体"/>
          <w:b w:val="0"/>
          <w:bCs w:val="0"/>
          <w:kern w:val="36"/>
          <w:sz w:val="32"/>
          <w:szCs w:val="32"/>
        </w:rPr>
      </w:pPr>
      <w:r>
        <w:rPr>
          <w:rFonts w:hint="eastAsia" w:ascii="黑体" w:hAnsi="黑体" w:eastAsia="黑体" w:cs="黑体"/>
          <w:b w:val="0"/>
          <w:bCs w:val="0"/>
          <w:sz w:val="32"/>
          <w:szCs w:val="32"/>
          <w:lang w:val="en-US" w:eastAsia="zh-CN"/>
        </w:rPr>
        <w:t>附件</w:t>
      </w:r>
      <w:r>
        <w:rPr>
          <w:rFonts w:hint="eastAsia" w:ascii="黑体" w:hAnsi="黑体" w:eastAsia="黑体" w:cs="黑体"/>
          <w:b w:val="0"/>
          <w:bCs w:val="0"/>
          <w:sz w:val="32"/>
          <w:szCs w:val="32"/>
          <w:lang w:val="en-US" w:eastAsia="zh-CN"/>
        </w:rPr>
        <w:t>2</w:t>
      </w:r>
    </w:p>
    <w:p w14:paraId="07CCEB03">
      <w:pPr>
        <w:pStyle w:val="3"/>
        <w:widowControl w:val="0"/>
        <w:spacing w:line="500" w:lineRule="exact"/>
        <w:ind w:firstLine="0" w:firstLineChars="0"/>
        <w:jc w:val="center"/>
        <w:outlineLvl w:val="0"/>
        <w:rPr>
          <w:rFonts w:hint="eastAsia" w:ascii="仿宋_GB2312" w:hAnsi="仿宋_GB2312" w:eastAsia="仿宋_GB2312" w:cs="仿宋_GB2312"/>
          <w:color w:val="000000"/>
          <w:kern w:val="36"/>
          <w:sz w:val="32"/>
          <w:szCs w:val="32"/>
        </w:rPr>
      </w:pPr>
      <w:r>
        <w:rPr>
          <w:rFonts w:hint="eastAsia" w:ascii="方正小标宋简体" w:hAnsi="方正小标宋简体" w:eastAsia="方正小标宋简体" w:cs="方正小标宋简体"/>
          <w:b w:val="0"/>
          <w:bCs w:val="0"/>
          <w:color w:val="000000"/>
          <w:kern w:val="2"/>
          <w:sz w:val="44"/>
          <w:szCs w:val="44"/>
        </w:rPr>
        <w:t>中山汽车总站候车室商铺联营合作</w:t>
      </w:r>
      <w:r>
        <w:rPr>
          <w:rFonts w:hint="eastAsia" w:ascii="方正小标宋简体" w:hAnsi="方正小标宋简体" w:eastAsia="方正小标宋简体" w:cs="方正小标宋简体"/>
          <w:b w:val="0"/>
          <w:bCs w:val="0"/>
          <w:kern w:val="2"/>
          <w:sz w:val="44"/>
          <w:szCs w:val="44"/>
          <w:lang w:val="en-US" w:eastAsia="zh-CN"/>
        </w:rPr>
        <w:t>方</w:t>
      </w:r>
      <w:r>
        <w:rPr>
          <w:rFonts w:hint="eastAsia" w:ascii="方正小标宋简体" w:hAnsi="方正小标宋简体" w:eastAsia="方正小标宋简体" w:cs="方正小标宋简体"/>
          <w:b w:val="0"/>
          <w:bCs w:val="0"/>
          <w:color w:val="000000"/>
          <w:kern w:val="2"/>
          <w:sz w:val="44"/>
          <w:szCs w:val="44"/>
        </w:rPr>
        <w:t>案</w:t>
      </w:r>
    </w:p>
    <w:p w14:paraId="706E2CF1">
      <w:pPr>
        <w:widowControl/>
        <w:spacing w:line="560" w:lineRule="exact"/>
        <w:ind w:firstLine="643" w:firstLineChars="200"/>
        <w:jc w:val="both"/>
        <w:outlineLvl w:val="1"/>
        <w:rPr>
          <w:rFonts w:hint="default" w:ascii="Times New Roman" w:hAnsi="Times New Roman" w:eastAsia="黑体" w:cs="Times New Roman"/>
          <w:b/>
          <w:bCs/>
          <w:color w:val="000000"/>
          <w:kern w:val="0"/>
          <w:sz w:val="32"/>
          <w:szCs w:val="32"/>
        </w:rPr>
      </w:pPr>
    </w:p>
    <w:p w14:paraId="549723B9">
      <w:pPr>
        <w:widowControl/>
        <w:spacing w:line="560" w:lineRule="exact"/>
        <w:ind w:firstLine="640" w:firstLineChars="200"/>
        <w:jc w:val="both"/>
        <w:outlineLvl w:val="1"/>
        <w:rPr>
          <w:rFonts w:ascii="Times New Roman" w:hAnsi="Times New Roman" w:eastAsia="黑体" w:cs="Times New Roman"/>
          <w:color w:val="000000"/>
          <w:kern w:val="0"/>
          <w:sz w:val="32"/>
          <w:szCs w:val="32"/>
        </w:rPr>
      </w:pPr>
      <w:r>
        <w:rPr>
          <w:rFonts w:hint="default" w:ascii="Times New Roman" w:hAnsi="Times New Roman" w:eastAsia="黑体" w:cs="Times New Roman"/>
          <w:b w:val="0"/>
          <w:bCs w:val="0"/>
          <w:color w:val="000000"/>
          <w:kern w:val="0"/>
          <w:sz w:val="32"/>
          <w:szCs w:val="32"/>
        </w:rPr>
        <w:t>一、项目概况</w:t>
      </w:r>
    </w:p>
    <w:p w14:paraId="22FC10B2">
      <w:pPr>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kern w:val="0"/>
          <w:sz w:val="32"/>
          <w:szCs w:val="32"/>
        </w:rPr>
        <w:t>中山汽车总</w:t>
      </w:r>
      <w:r>
        <w:rPr>
          <w:rFonts w:hint="default" w:ascii="Times New Roman" w:hAnsi="Times New Roman" w:eastAsia="仿宋_GB2312" w:cs="Times New Roman"/>
          <w:color w:val="000000" w:themeColor="text1"/>
          <w:kern w:val="0"/>
          <w:sz w:val="32"/>
          <w:szCs w:val="32"/>
          <w14:textFill>
            <w14:solidFill>
              <w14:schemeClr w14:val="tx1"/>
            </w14:solidFill>
          </w14:textFill>
        </w:rPr>
        <w:t>站是中山市唯一的国家一级客运站，</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同时为全市规模</w:t>
      </w:r>
      <w:r>
        <w:rPr>
          <w:rFonts w:hint="default" w:ascii="Times New Roman" w:hAnsi="Times New Roman" w:eastAsia="仿宋_GB2312" w:cs="Times New Roman"/>
          <w:color w:val="000000" w:themeColor="text1"/>
          <w:kern w:val="0"/>
          <w:sz w:val="32"/>
          <w:szCs w:val="32"/>
          <w14:textFill>
            <w14:solidFill>
              <w14:schemeClr w14:val="tx1"/>
            </w14:solidFill>
          </w14:textFill>
        </w:rPr>
        <w:t>最大的公交枢纽站，由中山公交集团全资子公司中山市城市汽车客运站有限公司（以下简称客运站公司）负责经营。本联营合作项目（下称项目）</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坐落</w:t>
      </w:r>
      <w:r>
        <w:rPr>
          <w:rFonts w:hint="default" w:ascii="Times New Roman" w:hAnsi="Times New Roman" w:eastAsia="仿宋_GB2312" w:cs="Times New Roman"/>
          <w:color w:val="000000" w:themeColor="text1"/>
          <w:kern w:val="0"/>
          <w:sz w:val="32"/>
          <w:szCs w:val="32"/>
          <w14:textFill>
            <w14:solidFill>
              <w14:schemeClr w14:val="tx1"/>
            </w14:solidFill>
          </w14:textFill>
        </w:rPr>
        <w:t>于中山汽车总站候车室</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外侧区域</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依托</w:t>
      </w:r>
      <w:r>
        <w:rPr>
          <w:rFonts w:hint="default" w:ascii="Times New Roman" w:hAnsi="Times New Roman" w:eastAsia="仿宋_GB2312" w:cs="Times New Roman"/>
          <w:color w:val="000000" w:themeColor="text1"/>
          <w:kern w:val="0"/>
          <w:sz w:val="32"/>
          <w:szCs w:val="32"/>
          <w14:textFill>
            <w14:solidFill>
              <w14:schemeClr w14:val="tx1"/>
            </w14:solidFill>
          </w14:textFill>
        </w:rPr>
        <w:t>公交枢纽站</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车站海量客流，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属于</w:t>
      </w:r>
      <w:r>
        <w:rPr>
          <w:rFonts w:hint="default" w:ascii="Times New Roman" w:hAnsi="Times New Roman" w:eastAsia="仿宋_GB2312" w:cs="Times New Roman"/>
          <w:color w:val="000000" w:themeColor="text1"/>
          <w:kern w:val="0"/>
          <w:sz w:val="32"/>
          <w:szCs w:val="32"/>
          <w14:textFill>
            <w14:solidFill>
              <w14:schemeClr w14:val="tx1"/>
            </w14:solidFill>
          </w14:textFill>
        </w:rPr>
        <w:t>旅客</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候车、中转</w:t>
      </w:r>
      <w:r>
        <w:rPr>
          <w:rFonts w:hint="default" w:ascii="Times New Roman" w:hAnsi="Times New Roman" w:eastAsia="仿宋_GB2312" w:cs="Times New Roman"/>
          <w:color w:val="000000" w:themeColor="text1"/>
          <w:kern w:val="0"/>
          <w:sz w:val="32"/>
          <w:szCs w:val="32"/>
          <w14:textFill>
            <w14:solidFill>
              <w14:schemeClr w14:val="tx1"/>
            </w14:solidFill>
          </w14:textFill>
        </w:rPr>
        <w:t>停留</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核心</w:t>
      </w:r>
      <w:r>
        <w:rPr>
          <w:rFonts w:hint="default" w:ascii="Times New Roman" w:hAnsi="Times New Roman" w:eastAsia="仿宋_GB2312" w:cs="Times New Roman"/>
          <w:color w:val="000000" w:themeColor="text1"/>
          <w:kern w:val="0"/>
          <w:sz w:val="32"/>
          <w:szCs w:val="32"/>
          <w14:textFill>
            <w14:solidFill>
              <w14:schemeClr w14:val="tx1"/>
            </w14:solidFill>
          </w14:textFill>
        </w:rPr>
        <w:t>消费点位，商业价值显著。项目</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场地包含面向</w:t>
      </w:r>
      <w:r>
        <w:rPr>
          <w:rFonts w:hint="default" w:ascii="Times New Roman" w:hAnsi="Times New Roman" w:eastAsia="仿宋_GB2312" w:cs="Times New Roman"/>
          <w:color w:val="000000" w:themeColor="text1"/>
          <w:kern w:val="0"/>
          <w:sz w:val="32"/>
          <w:szCs w:val="32"/>
          <w14:textFill>
            <w14:solidFill>
              <w14:schemeClr w14:val="tx1"/>
            </w14:solidFill>
          </w14:textFill>
        </w:rPr>
        <w:t>候车室</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kern w:val="0"/>
          <w:sz w:val="32"/>
          <w:szCs w:val="32"/>
          <w14:textFill>
            <w14:solidFill>
              <w14:schemeClr w14:val="tx1"/>
            </w14:solidFill>
          </w14:textFill>
        </w:rPr>
        <w:t>8间玻璃隔断商铺，面</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向</w:t>
      </w:r>
      <w:r>
        <w:rPr>
          <w:rFonts w:hint="default" w:ascii="Times New Roman" w:hAnsi="Times New Roman" w:eastAsia="仿宋_GB2312" w:cs="Times New Roman"/>
          <w:color w:val="000000" w:themeColor="text1"/>
          <w:kern w:val="0"/>
          <w:sz w:val="32"/>
          <w:szCs w:val="32"/>
          <w14:textFill>
            <w14:solidFill>
              <w14:schemeClr w14:val="tx1"/>
            </w14:solidFill>
          </w14:textFill>
        </w:rPr>
        <w:t>公交发车廊</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kern w:val="0"/>
          <w:sz w:val="32"/>
          <w:szCs w:val="32"/>
          <w:lang w:val="en-US"/>
          <w14:textFill>
            <w14:solidFill>
              <w14:schemeClr w14:val="tx1"/>
            </w14:solidFill>
          </w14:textFill>
        </w:rPr>
        <w:t>4</w:t>
      </w:r>
      <w:r>
        <w:rPr>
          <w:rFonts w:hint="default" w:ascii="Times New Roman" w:hAnsi="Times New Roman" w:eastAsia="仿宋_GB2312" w:cs="Times New Roman"/>
          <w:color w:val="000000" w:themeColor="text1"/>
          <w:kern w:val="0"/>
          <w:sz w:val="32"/>
          <w:szCs w:val="32"/>
          <w14:textFill>
            <w14:solidFill>
              <w14:schemeClr w14:val="tx1"/>
            </w14:solidFill>
          </w14:textFill>
        </w:rPr>
        <w:t>个商铺卡位，总建筑面积约70㎡。商铺面向公交发车廊</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一侧</w:t>
      </w:r>
      <w:r>
        <w:rPr>
          <w:rFonts w:hint="default" w:ascii="Times New Roman" w:hAnsi="Times New Roman" w:eastAsia="仿宋_GB2312" w:cs="Times New Roman"/>
          <w:color w:val="000000" w:themeColor="text1"/>
          <w:kern w:val="0"/>
          <w:sz w:val="32"/>
          <w:szCs w:val="32"/>
          <w14:textFill>
            <w14:solidFill>
              <w14:schemeClr w14:val="tx1"/>
            </w14:solidFill>
          </w14:textFill>
        </w:rPr>
        <w:t>玻璃区域</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可全开</w:t>
      </w:r>
      <w:r>
        <w:rPr>
          <w:rFonts w:hint="default" w:ascii="Times New Roman" w:hAnsi="Times New Roman" w:eastAsia="仿宋_GB2312" w:cs="Times New Roman"/>
          <w:color w:val="000000" w:themeColor="text1"/>
          <w:kern w:val="0"/>
          <w:sz w:val="32"/>
          <w:szCs w:val="32"/>
          <w14:textFill>
            <w14:solidFill>
              <w14:schemeClr w14:val="tx1"/>
            </w14:solidFill>
          </w14:textFill>
        </w:rPr>
        <w:t>，且可向外</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拓</w:t>
      </w:r>
      <w:r>
        <w:rPr>
          <w:rFonts w:hint="default" w:ascii="Times New Roman" w:hAnsi="Times New Roman" w:eastAsia="仿宋_GB2312" w:cs="Times New Roman"/>
          <w:color w:val="000000" w:themeColor="text1"/>
          <w:kern w:val="0"/>
          <w:sz w:val="32"/>
          <w:szCs w:val="32"/>
          <w14:textFill>
            <w14:solidFill>
              <w14:schemeClr w14:val="tx1"/>
            </w14:solidFill>
          </w14:textFill>
        </w:rPr>
        <w:t>宽约1米，有效拓展经营展示空间，提升客流接触度与消费转化效率。</w:t>
      </w:r>
    </w:p>
    <w:p w14:paraId="7C9AC487">
      <w:pPr>
        <w:spacing w:line="560" w:lineRule="exact"/>
        <w:ind w:firstLine="640" w:firstLineChars="200"/>
        <w:jc w:val="both"/>
        <w:outlineLvl w:val="1"/>
        <w:rPr>
          <w:rFonts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项目配套基础完善，可为入驻商户提供水、</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供</w:t>
      </w:r>
      <w:r>
        <w:rPr>
          <w:rFonts w:hint="default" w:ascii="Times New Roman" w:hAnsi="Times New Roman" w:eastAsia="仿宋_GB2312" w:cs="Times New Roman"/>
          <w:color w:val="000000" w:themeColor="text1"/>
          <w:kern w:val="0"/>
          <w:sz w:val="32"/>
          <w:szCs w:val="32"/>
          <w14:textFill>
            <w14:solidFill>
              <w14:schemeClr w14:val="tx1"/>
            </w14:solidFill>
          </w14:textFill>
        </w:rPr>
        <w:t>电接入，</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满足基础</w:t>
      </w:r>
      <w:r>
        <w:rPr>
          <w:rFonts w:hint="default" w:ascii="Times New Roman" w:hAnsi="Times New Roman" w:eastAsia="仿宋_GB2312" w:cs="Times New Roman"/>
          <w:color w:val="000000" w:themeColor="text1"/>
          <w:kern w:val="0"/>
          <w:sz w:val="32"/>
          <w:szCs w:val="32"/>
          <w14:textFill>
            <w14:solidFill>
              <w14:schemeClr w14:val="tx1"/>
            </w14:solidFill>
          </w14:textFill>
        </w:rPr>
        <w:t>经营需求；同时明确经营设施使用规范</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严</w:t>
      </w:r>
      <w:r>
        <w:rPr>
          <w:rFonts w:hint="default" w:ascii="Times New Roman" w:hAnsi="Times New Roman" w:eastAsia="仿宋_GB2312" w:cs="Times New Roman"/>
          <w:color w:val="000000" w:themeColor="text1"/>
          <w:kern w:val="0"/>
          <w:sz w:val="32"/>
          <w:szCs w:val="32"/>
          <w14:textFill>
            <w14:solidFill>
              <w14:schemeClr w14:val="tx1"/>
            </w14:solidFill>
          </w14:textFill>
        </w:rPr>
        <w:t>禁止明火操作，仅可使用微波炉等无明火加热设</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备</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经营</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全</w:t>
      </w:r>
      <w:r>
        <w:rPr>
          <w:rFonts w:hint="default" w:ascii="Times New Roman" w:hAnsi="Times New Roman" w:eastAsia="仿宋_GB2312" w:cs="Times New Roman"/>
          <w:color w:val="000000" w:themeColor="text1"/>
          <w:kern w:val="0"/>
          <w:sz w:val="32"/>
          <w:szCs w:val="32"/>
          <w14:textFill>
            <w14:solidFill>
              <w14:schemeClr w14:val="tx1"/>
            </w14:solidFill>
          </w14:textFill>
        </w:rPr>
        <w:t>程禁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止</w:t>
      </w:r>
      <w:r>
        <w:rPr>
          <w:rFonts w:hint="default" w:ascii="Times New Roman" w:hAnsi="Times New Roman" w:eastAsia="仿宋_GB2312" w:cs="Times New Roman"/>
          <w:color w:val="000000" w:themeColor="text1"/>
          <w:kern w:val="0"/>
          <w:sz w:val="32"/>
          <w:szCs w:val="32"/>
          <w14:textFill>
            <w14:solidFill>
              <w14:schemeClr w14:val="tx1"/>
            </w14:solidFill>
          </w14:textFill>
        </w:rPr>
        <w:t>产生</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油</w:t>
      </w:r>
      <w:r>
        <w:rPr>
          <w:rFonts w:hint="default" w:ascii="Times New Roman" w:hAnsi="Times New Roman" w:eastAsia="仿宋_GB2312" w:cs="Times New Roman"/>
          <w:color w:val="000000" w:themeColor="text1"/>
          <w:kern w:val="0"/>
          <w:sz w:val="32"/>
          <w:szCs w:val="32"/>
          <w14:textFill>
            <w14:solidFill>
              <w14:schemeClr w14:val="tx1"/>
            </w14:solidFill>
          </w14:textFill>
        </w:rPr>
        <w:t>烟</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雾</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异味，</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保障</w:t>
      </w:r>
      <w:r>
        <w:rPr>
          <w:rFonts w:hint="default" w:ascii="Times New Roman" w:hAnsi="Times New Roman" w:eastAsia="仿宋_GB2312" w:cs="Times New Roman"/>
          <w:color w:val="000000" w:themeColor="text1"/>
          <w:kern w:val="0"/>
          <w:sz w:val="32"/>
          <w:szCs w:val="32"/>
          <w14:textFill>
            <w14:solidFill>
              <w14:schemeClr w14:val="tx1"/>
            </w14:solidFill>
          </w14:textFill>
        </w:rPr>
        <w:t>车站公共区域</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消防</w:t>
      </w:r>
      <w:r>
        <w:rPr>
          <w:rFonts w:hint="default" w:ascii="Times New Roman" w:hAnsi="Times New Roman" w:eastAsia="仿宋_GB2312" w:cs="Times New Roman"/>
          <w:color w:val="000000" w:themeColor="text1"/>
          <w:kern w:val="0"/>
          <w:sz w:val="32"/>
          <w:szCs w:val="32"/>
          <w14:textFill>
            <w14:solidFill>
              <w14:schemeClr w14:val="tx1"/>
            </w14:solidFill>
          </w14:textFill>
        </w:rPr>
        <w:t>安全与环境卫生整洁。</w:t>
      </w:r>
    </w:p>
    <w:p w14:paraId="295DFFAA">
      <w:pPr>
        <w:spacing w:line="560" w:lineRule="exact"/>
        <w:ind w:firstLine="640" w:firstLineChars="200"/>
        <w:jc w:val="both"/>
        <w:outlineLvl w:val="1"/>
        <w:rPr>
          <w:rFonts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二、联营合作</w:t>
      </w:r>
      <w:r>
        <w:rPr>
          <w:rFonts w:hint="default" w:ascii="Times New Roman" w:hAnsi="Times New Roman" w:eastAsia="黑体" w:cs="Times New Roman"/>
          <w:b w:val="0"/>
          <w:bCs w:val="0"/>
          <w:color w:val="000000" w:themeColor="text1"/>
          <w:kern w:val="0"/>
          <w:sz w:val="32"/>
          <w:szCs w:val="32"/>
          <w:lang w:val="en-US" w:eastAsia="zh-CN"/>
          <w14:textFill>
            <w14:solidFill>
              <w14:schemeClr w14:val="tx1"/>
            </w14:solidFill>
          </w14:textFill>
        </w:rPr>
        <w:t>目标与</w:t>
      </w: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方向</w:t>
      </w:r>
    </w:p>
    <w:p w14:paraId="17CE0516">
      <w:pPr>
        <w:spacing w:line="560" w:lineRule="exact"/>
        <w:ind w:firstLine="640" w:firstLineChars="200"/>
        <w:jc w:val="both"/>
        <w:rPr>
          <w:rFonts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客运站公司</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以</w:t>
      </w:r>
      <w:r>
        <w:rPr>
          <w:rFonts w:hint="default" w:ascii="Times New Roman" w:hAnsi="Times New Roman" w:eastAsia="仿宋_GB2312" w:cs="Times New Roman"/>
          <w:color w:val="000000" w:themeColor="text1"/>
          <w:kern w:val="0"/>
          <w:sz w:val="32"/>
          <w:szCs w:val="32"/>
          <w14:textFill>
            <w14:solidFill>
              <w14:schemeClr w14:val="tx1"/>
            </w14:solidFill>
          </w14:textFill>
        </w:rPr>
        <w:t>选取优质</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联营</w:t>
      </w:r>
      <w:r>
        <w:rPr>
          <w:rFonts w:hint="default" w:ascii="Times New Roman" w:hAnsi="Times New Roman" w:eastAsia="仿宋_GB2312" w:cs="Times New Roman"/>
          <w:color w:val="000000" w:themeColor="text1"/>
          <w:kern w:val="0"/>
          <w:sz w:val="32"/>
          <w:szCs w:val="32"/>
          <w14:textFill>
            <w14:solidFill>
              <w14:schemeClr w14:val="tx1"/>
            </w14:solidFill>
          </w14:textFill>
        </w:rPr>
        <w:t>合作经营单位</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为</w:t>
      </w:r>
      <w:r>
        <w:rPr>
          <w:rFonts w:hint="default" w:ascii="Times New Roman" w:hAnsi="Times New Roman" w:eastAsia="仿宋_GB2312" w:cs="Times New Roman"/>
          <w:color w:val="000000" w:themeColor="text1"/>
          <w:kern w:val="0"/>
          <w:sz w:val="32"/>
          <w:szCs w:val="32"/>
          <w14:textFill>
            <w14:solidFill>
              <w14:schemeClr w14:val="tx1"/>
            </w14:solidFill>
          </w14:textFill>
        </w:rPr>
        <w:t>目标</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结合车站</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旅客</w:t>
      </w:r>
      <w:r>
        <w:rPr>
          <w:rFonts w:hint="default" w:ascii="Times New Roman" w:hAnsi="Times New Roman" w:eastAsia="仿宋_GB2312" w:cs="Times New Roman"/>
          <w:color w:val="000000" w:themeColor="text1"/>
          <w:kern w:val="0"/>
          <w:sz w:val="32"/>
          <w:szCs w:val="32"/>
          <w14:textFill>
            <w14:solidFill>
              <w14:schemeClr w14:val="tx1"/>
            </w14:solidFill>
          </w14:textFill>
        </w:rPr>
        <w:t>消费特</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征、</w:t>
      </w:r>
      <w:r>
        <w:rPr>
          <w:rFonts w:hint="default" w:ascii="Times New Roman" w:hAnsi="Times New Roman" w:eastAsia="仿宋_GB2312" w:cs="Times New Roman"/>
          <w:color w:val="000000" w:themeColor="text1"/>
          <w:kern w:val="0"/>
          <w:sz w:val="32"/>
          <w:szCs w:val="32"/>
          <w14:textFill>
            <w14:solidFill>
              <w14:schemeClr w14:val="tx1"/>
            </w14:solidFill>
          </w14:textFill>
        </w:rPr>
        <w:t>场地经营规范，本次项目</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优先</w:t>
      </w:r>
      <w:r>
        <w:rPr>
          <w:rFonts w:hint="default" w:ascii="Times New Roman" w:hAnsi="Times New Roman" w:eastAsia="仿宋_GB2312" w:cs="Times New Roman"/>
          <w:color w:val="000000" w:themeColor="text1"/>
          <w:kern w:val="0"/>
          <w:sz w:val="32"/>
          <w:szCs w:val="32"/>
          <w14:textFill>
            <w14:solidFill>
              <w14:schemeClr w14:val="tx1"/>
            </w14:solidFill>
          </w14:textFill>
        </w:rPr>
        <w:t>引进便民、特色消费品类，</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可选</w:t>
      </w:r>
      <w:r>
        <w:rPr>
          <w:rFonts w:hint="default" w:ascii="Times New Roman" w:hAnsi="Times New Roman" w:eastAsia="仿宋_GB2312" w:cs="Times New Roman"/>
          <w:color w:val="000000" w:themeColor="text1"/>
          <w:kern w:val="0"/>
          <w:sz w:val="32"/>
          <w:szCs w:val="32"/>
          <w14:textFill>
            <w14:solidFill>
              <w14:schemeClr w14:val="tx1"/>
            </w14:solidFill>
          </w14:textFill>
        </w:rPr>
        <w:t>经营类型</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如下</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7E552382">
      <w:pPr>
        <w:spacing w:line="560" w:lineRule="exact"/>
        <w:ind w:firstLine="643" w:firstLineChars="200"/>
        <w:jc w:val="both"/>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（一）奶茶饮品店。</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经营</w:t>
      </w:r>
      <w:r>
        <w:rPr>
          <w:rFonts w:hint="default" w:ascii="Times New Roman" w:hAnsi="Times New Roman" w:eastAsia="仿宋_GB2312" w:cs="Times New Roman"/>
          <w:color w:val="000000" w:themeColor="text1"/>
          <w:kern w:val="0"/>
          <w:sz w:val="32"/>
          <w:szCs w:val="32"/>
          <w14:textFill>
            <w14:solidFill>
              <w14:schemeClr w14:val="tx1"/>
            </w14:solidFill>
          </w14:textFill>
        </w:rPr>
        <w:t>现制奶茶、果茶、咖啡、鲜榨果汁等饮品，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匹配</w:t>
      </w:r>
      <w:r>
        <w:rPr>
          <w:rFonts w:hint="default" w:ascii="Times New Roman" w:hAnsi="Times New Roman" w:eastAsia="仿宋_GB2312" w:cs="Times New Roman"/>
          <w:color w:val="000000" w:themeColor="text1"/>
          <w:kern w:val="0"/>
          <w:sz w:val="32"/>
          <w:szCs w:val="32"/>
          <w14:textFill>
            <w14:solidFill>
              <w14:schemeClr w14:val="tx1"/>
            </w14:solidFill>
          </w14:textFill>
        </w:rPr>
        <w:t>旅客即时饮品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消费</w:t>
      </w:r>
      <w:r>
        <w:rPr>
          <w:rFonts w:hint="default" w:ascii="Times New Roman" w:hAnsi="Times New Roman" w:eastAsia="仿宋_GB2312" w:cs="Times New Roman"/>
          <w:color w:val="000000" w:themeColor="text1"/>
          <w:kern w:val="0"/>
          <w:sz w:val="32"/>
          <w:szCs w:val="32"/>
          <w14:textFill>
            <w14:solidFill>
              <w14:schemeClr w14:val="tx1"/>
            </w14:solidFill>
          </w14:textFill>
        </w:rPr>
        <w:t>需求；</w:t>
      </w:r>
    </w:p>
    <w:p w14:paraId="30F35BD0">
      <w:pPr>
        <w:spacing w:line="560" w:lineRule="exact"/>
        <w:ind w:firstLine="643" w:firstLineChars="200"/>
        <w:jc w:val="both"/>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（二）便利店。</w:t>
      </w:r>
      <w:r>
        <w:rPr>
          <w:rFonts w:hint="default" w:ascii="Times New Roman" w:hAnsi="Times New Roman" w:eastAsia="仿宋_GB2312" w:cs="Times New Roman"/>
          <w:color w:val="000000" w:themeColor="text1"/>
          <w:kern w:val="0"/>
          <w:sz w:val="32"/>
          <w:szCs w:val="32"/>
          <w14:textFill>
            <w14:solidFill>
              <w14:schemeClr w14:val="tx1"/>
            </w14:solidFill>
          </w14:textFill>
        </w:rPr>
        <w:t>售卖日用百货、零食、</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瓶装</w:t>
      </w:r>
      <w:r>
        <w:rPr>
          <w:rFonts w:hint="default" w:ascii="Times New Roman" w:hAnsi="Times New Roman" w:eastAsia="仿宋_GB2312" w:cs="Times New Roman"/>
          <w:color w:val="000000" w:themeColor="text1"/>
          <w:kern w:val="0"/>
          <w:sz w:val="32"/>
          <w:szCs w:val="32"/>
          <w14:textFill>
            <w14:solidFill>
              <w14:schemeClr w14:val="tx1"/>
            </w14:solidFill>
          </w14:textFill>
        </w:rPr>
        <w:t>饮料、速食产品等，可配套售卖便当、饭团、三明治等无明火简餐，打造</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一站式</w:t>
      </w:r>
      <w:r>
        <w:rPr>
          <w:rFonts w:hint="default" w:ascii="Times New Roman" w:hAnsi="Times New Roman" w:eastAsia="仿宋_GB2312" w:cs="Times New Roman"/>
          <w:color w:val="000000" w:themeColor="text1"/>
          <w:kern w:val="0"/>
          <w:sz w:val="32"/>
          <w:szCs w:val="32"/>
          <w14:textFill>
            <w14:solidFill>
              <w14:schemeClr w14:val="tx1"/>
            </w14:solidFill>
          </w14:textFill>
        </w:rPr>
        <w:t>便民消费点</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位</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3A656CD9">
      <w:pPr>
        <w:spacing w:line="560" w:lineRule="exact"/>
        <w:ind w:firstLine="643" w:firstLineChars="200"/>
        <w:jc w:val="both"/>
        <w:rPr>
          <w:rFonts w:hint="default" w:ascii="Times New Roman" w:hAnsi="Times New Roman" w:eastAsia="仿宋_GB2312" w:cs="Times New Roman"/>
          <w:color w:val="000000" w:themeColor="text1"/>
          <w:kern w:val="0"/>
          <w:sz w:val="32"/>
          <w:szCs w:val="32"/>
          <w:lang w:val="en-US"/>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（三）</w:t>
      </w:r>
      <w:r>
        <w:rPr>
          <w:rFonts w:hint="eastAsia" w:ascii="楷体_GB2312" w:hAnsi="楷体_GB2312" w:eastAsia="楷体_GB2312" w:cs="楷体_GB2312"/>
          <w:b/>
          <w:bCs/>
          <w:color w:val="000000" w:themeColor="text1"/>
          <w:kern w:val="0"/>
          <w:sz w:val="32"/>
          <w:szCs w:val="32"/>
          <w:lang w:val="en-US"/>
          <w14:textFill>
            <w14:solidFill>
              <w14:schemeClr w14:val="tx1"/>
            </w14:solidFill>
          </w14:textFill>
        </w:rPr>
        <w:t>中山特产店。</w:t>
      </w:r>
      <w:r>
        <w:rPr>
          <w:rFonts w:hint="default" w:ascii="Times New Roman" w:hAnsi="Times New Roman" w:eastAsia="仿宋_GB2312" w:cs="Times New Roman"/>
          <w:color w:val="000000" w:themeColor="text1"/>
          <w:kern w:val="0"/>
          <w:sz w:val="32"/>
          <w:szCs w:val="32"/>
          <w:lang w:val="en-US"/>
          <w14:textFill>
            <w14:solidFill>
              <w14:schemeClr w14:val="tx1"/>
            </w14:solidFill>
          </w14:textFill>
        </w:rPr>
        <w:t>经营中山本地特色食品、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文创手信，精准匹配</w:t>
      </w:r>
      <w:r>
        <w:rPr>
          <w:rFonts w:hint="default" w:ascii="Times New Roman" w:hAnsi="Times New Roman" w:eastAsia="仿宋_GB2312" w:cs="Times New Roman"/>
          <w:color w:val="000000" w:themeColor="text1"/>
          <w:kern w:val="0"/>
          <w:sz w:val="32"/>
          <w:szCs w:val="32"/>
          <w:lang w:val="en-US"/>
          <w14:textFill>
            <w14:solidFill>
              <w14:schemeClr w14:val="tx1"/>
            </w14:solidFill>
          </w14:textFill>
        </w:rPr>
        <w:t>旅客伴手礼</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采购</w:t>
      </w:r>
      <w:r>
        <w:rPr>
          <w:rFonts w:hint="default" w:ascii="Times New Roman" w:hAnsi="Times New Roman" w:eastAsia="仿宋_GB2312" w:cs="Times New Roman"/>
          <w:color w:val="000000" w:themeColor="text1"/>
          <w:kern w:val="0"/>
          <w:sz w:val="32"/>
          <w:szCs w:val="32"/>
          <w:lang w:val="en-US"/>
          <w14:textFill>
            <w14:solidFill>
              <w14:schemeClr w14:val="tx1"/>
            </w14:solidFill>
          </w14:textFill>
        </w:rPr>
        <w:t>需求；</w:t>
      </w:r>
    </w:p>
    <w:p w14:paraId="18AB18F7">
      <w:pPr>
        <w:spacing w:line="560" w:lineRule="exact"/>
        <w:ind w:firstLine="643"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14:textFill>
            <w14:solidFill>
              <w14:schemeClr w14:val="tx1"/>
            </w14:solidFill>
          </w14:textFill>
        </w:rPr>
        <w:t>（四）其他品类。</w:t>
      </w:r>
      <w:r>
        <w:rPr>
          <w:rFonts w:hint="default" w:ascii="Times New Roman" w:hAnsi="Times New Roman" w:eastAsia="仿宋_GB2312" w:cs="Times New Roman"/>
          <w:color w:val="000000" w:themeColor="text1"/>
          <w:kern w:val="0"/>
          <w:sz w:val="32"/>
          <w:szCs w:val="32"/>
          <w:lang w:val="en-US"/>
          <w14:textFill>
            <w14:solidFill>
              <w14:schemeClr w14:val="tx1"/>
            </w14:solidFill>
          </w14:textFill>
        </w:rPr>
        <w:t>其他符合场地经营规范、适配车站客流消费需求的便民轻食、零售品类，亦可洽谈入驻</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33C07B86">
      <w:pPr>
        <w:pStyle w:val="4"/>
        <w:keepNext w:val="0"/>
        <w:keepLines w:val="0"/>
        <w:widowControl/>
        <w:suppressLineNumbers w:val="0"/>
        <w:shd w:val="clear" w:fill="FFFFFF"/>
        <w:spacing w:before="0" w:beforeAutospacing="0" w:after="0" w:afterAutospacing="0" w:line="560" w:lineRule="exact"/>
        <w:ind w:left="0" w:right="0" w:firstLine="640" w:firstLineChars="200"/>
        <w:jc w:val="both"/>
        <w:rPr>
          <w:rFonts w:hint="default" w:ascii="Times New Roman" w:hAnsi="Times New Roman" w:eastAsia="黑体" w:cs="Times New Roman"/>
          <w:b w:val="0"/>
          <w:bCs w:val="0"/>
          <w:color w:val="000000" w:themeColor="text1"/>
          <w:sz w:val="32"/>
          <w:szCs w:val="32"/>
          <w:shd w:val="clear" w:fill="FFFFFF"/>
          <w:lang w:val="en-US"/>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fill="FFFFFF"/>
          <w:lang w:eastAsia="zh-CN"/>
          <w14:textFill>
            <w14:solidFill>
              <w14:schemeClr w14:val="tx1"/>
            </w14:solidFill>
          </w14:textFill>
        </w:rPr>
        <w:t>三、</w:t>
      </w:r>
      <w:r>
        <w:rPr>
          <w:rFonts w:hint="default" w:ascii="Times New Roman" w:hAnsi="Times New Roman" w:eastAsia="黑体" w:cs="Times New Roman"/>
          <w:b w:val="0"/>
          <w:bCs w:val="0"/>
          <w:color w:val="000000" w:themeColor="text1"/>
          <w:sz w:val="32"/>
          <w:szCs w:val="32"/>
          <w:shd w:val="clear" w:fill="FFFFFF"/>
          <w:lang w:val="en-US" w:eastAsia="zh-CN"/>
          <w14:textFill>
            <w14:solidFill>
              <w14:schemeClr w14:val="tx1"/>
            </w14:solidFill>
          </w14:textFill>
        </w:rPr>
        <w:t>联营</w:t>
      </w:r>
      <w:r>
        <w:rPr>
          <w:rFonts w:hint="default" w:ascii="Times New Roman" w:hAnsi="Times New Roman" w:eastAsia="黑体" w:cs="Times New Roman"/>
          <w:b w:val="0"/>
          <w:bCs w:val="0"/>
          <w:color w:val="000000" w:themeColor="text1"/>
          <w:sz w:val="32"/>
          <w:szCs w:val="32"/>
          <w:shd w:val="clear" w:fill="FFFFFF"/>
          <w:lang w:eastAsia="zh-CN"/>
          <w14:textFill>
            <w14:solidFill>
              <w14:schemeClr w14:val="tx1"/>
            </w14:solidFill>
          </w14:textFill>
        </w:rPr>
        <w:t>合作方式</w:t>
      </w:r>
    </w:p>
    <w:p w14:paraId="207D820A">
      <w:pPr>
        <w:pStyle w:val="5"/>
        <w:keepNext w:val="0"/>
        <w:keepLines w:val="0"/>
        <w:widowControl/>
        <w:suppressLineNumbers w:val="0"/>
        <w:shd w:val="clear" w:fill="FFFFFF"/>
        <w:spacing w:before="0" w:beforeAutospacing="0" w:after="0" w:afterAutospacing="0" w:line="560" w:lineRule="exact"/>
        <w:ind w:left="0" w:right="0" w:firstLine="643" w:firstLineChars="200"/>
        <w:jc w:val="both"/>
        <w:rPr>
          <w:rFonts w:hint="default" w:ascii="Times New Roman" w:hAnsi="Times New Roman" w:eastAsia="楷体_GB2312" w:cs="Times New Roman"/>
          <w:b w:val="0"/>
          <w:bCs w:val="0"/>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（一）场地投入</w:t>
      </w:r>
    </w:p>
    <w:p w14:paraId="6279D6FF">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客运站公司提供位站内</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约70</w:t>
      </w:r>
      <w:r>
        <w:rPr>
          <w:rFonts w:hint="default" w:ascii="Times New Roman" w:hAnsi="Times New Roman" w:eastAsia="仿宋_GB2312" w:cs="Times New Roman"/>
          <w:color w:val="000000" w:themeColor="text1"/>
          <w:kern w:val="0"/>
          <w:sz w:val="32"/>
          <w:szCs w:val="32"/>
          <w14:textFill>
            <w14:solidFill>
              <w14:schemeClr w14:val="tx1"/>
            </w14:solidFill>
          </w14:textFill>
        </w:rPr>
        <w:t>㎡闲置商铺</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场地</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场地重新规划设计、改造、装修等全部费用均由合作方全额承担。设计方案需契合车站整体风貌、符合经营管理规范，方案须经客运站公司审核通过后方可施工；</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合作方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独立</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运</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营、自负盈亏。</w:t>
      </w:r>
    </w:p>
    <w:p w14:paraId="42AEAA78">
      <w:pPr>
        <w:pStyle w:val="9"/>
        <w:widowControl/>
        <w:spacing w:line="560" w:lineRule="exact"/>
        <w:ind w:left="0" w:firstLine="643" w:firstLineChars="200"/>
        <w:rPr>
          <w:rFonts w:hint="default" w:ascii="Times New Roman" w:hAnsi="Times New Roman" w:eastAsia="楷体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（二）</w:t>
      </w:r>
      <w:r>
        <w:rPr>
          <w:rFonts w:hint="default" w:ascii="Times New Roman" w:hAnsi="Times New Roman" w:eastAsia="楷体_GB2312" w:cs="Times New Roman"/>
          <w:b/>
          <w:bCs/>
          <w:color w:val="000000" w:themeColor="text1"/>
          <w:sz w:val="32"/>
          <w:szCs w:val="32"/>
          <w:shd w:val="clear" w:fill="FFFFFF"/>
          <w:lang w:val="en-US" w:eastAsia="zh-CN"/>
          <w14:textFill>
            <w14:solidFill>
              <w14:schemeClr w14:val="tx1"/>
            </w14:solidFill>
          </w14:textFill>
        </w:rPr>
        <w:t>联营</w:t>
      </w: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合作费用</w:t>
      </w:r>
    </w:p>
    <w:p w14:paraId="5570C3A7">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本项目采用零场地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租金</w:t>
      </w:r>
      <w:r>
        <w:rPr>
          <w:rFonts w:hint="default" w:ascii="Times New Roman" w:hAnsi="Times New Roman" w:eastAsia="仿宋_GB2312" w:cs="Times New Roman"/>
          <w:color w:val="000000" w:themeColor="text1"/>
          <w:sz w:val="32"/>
          <w:szCs w:val="32"/>
          <w:lang w:val="en-US"/>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营收分成模式：</w:t>
      </w:r>
    </w:p>
    <w:p w14:paraId="39F22CC8">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零场地费：</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客运站公司</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不收取固定场地</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租金</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4F310186">
      <w:pPr>
        <w:spacing w:line="560" w:lineRule="exact"/>
        <w:ind w:firstLine="640" w:firstLineChars="200"/>
        <w:jc w:val="both"/>
        <w:textAlignment w:val="top"/>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营收分成</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计费规则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公司按合作方月度</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含税</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销售总额约定比例</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计</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收</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联营</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费用，</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当月费用取</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（营收分成金额、月度保底金额），二者较高值，按月结算、</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当</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月</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结</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清；</w:t>
      </w:r>
    </w:p>
    <w:p w14:paraId="777B4FF6">
      <w:pPr>
        <w:pStyle w:val="9"/>
        <w:keepNext w:val="0"/>
        <w:keepLines w:val="0"/>
        <w:widowControl w:val="0"/>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分成比例：意向合作方</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时须自主</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须承诺</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营收</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分成比例，</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客运站分成</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收取比例不</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得</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低于</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5F4EC3F1">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4.</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月度联营费用保底标准</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首个完整合作年度</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每月</w:t>
      </w:r>
      <w:r>
        <w:rPr>
          <w:rFonts w:hint="default" w:ascii="Times New Roman" w:hAnsi="Times New Roman" w:eastAsia="仿宋_GB2312" w:cs="Times New Roman"/>
          <w:color w:val="000000" w:themeColor="text1"/>
          <w:kern w:val="0"/>
          <w:sz w:val="32"/>
          <w:szCs w:val="32"/>
          <w14:textFill>
            <w14:solidFill>
              <w14:schemeClr w14:val="tx1"/>
            </w14:solidFill>
          </w14:textFill>
        </w:rPr>
        <w:t>保底金额</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为</w:t>
      </w:r>
      <w:r>
        <w:rPr>
          <w:rFonts w:hint="default" w:ascii="Times New Roman" w:hAnsi="Times New Roman" w:eastAsia="仿宋_GB2312" w:cs="Times New Roman"/>
          <w:color w:val="000000" w:themeColor="text1"/>
          <w:kern w:val="0"/>
          <w:sz w:val="32"/>
          <w:szCs w:val="32"/>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00元</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第二个完整合作年度</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每月</w:t>
      </w:r>
      <w:r>
        <w:rPr>
          <w:rFonts w:hint="default" w:ascii="Times New Roman" w:hAnsi="Times New Roman" w:eastAsia="仿宋_GB2312" w:cs="Times New Roman"/>
          <w:color w:val="000000" w:themeColor="text1"/>
          <w:kern w:val="0"/>
          <w:sz w:val="32"/>
          <w:szCs w:val="32"/>
          <w14:textFill>
            <w14:solidFill>
              <w14:schemeClr w14:val="tx1"/>
            </w14:solidFill>
          </w14:textFill>
        </w:rPr>
        <w:t>保底金额</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为</w:t>
      </w:r>
      <w:r>
        <w:rPr>
          <w:rFonts w:hint="default" w:ascii="Times New Roman" w:hAnsi="Times New Roman" w:eastAsia="仿宋_GB2312" w:cs="Times New Roman"/>
          <w:color w:val="000000" w:themeColor="text1"/>
          <w:kern w:val="0"/>
          <w:sz w:val="32"/>
          <w:szCs w:val="32"/>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32"/>
          <w:szCs w:val="32"/>
          <w14:textFill>
            <w14:solidFill>
              <w14:schemeClr w14:val="tx1"/>
            </w14:solidFill>
          </w14:textFill>
        </w:rPr>
        <w:t>00元</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第三个完整合作年度</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每月</w:t>
      </w:r>
      <w:r>
        <w:rPr>
          <w:rFonts w:hint="default" w:ascii="Times New Roman" w:hAnsi="Times New Roman" w:eastAsia="仿宋_GB2312" w:cs="Times New Roman"/>
          <w:color w:val="000000" w:themeColor="text1"/>
          <w:kern w:val="0"/>
          <w:sz w:val="32"/>
          <w:szCs w:val="32"/>
          <w14:textFill>
            <w14:solidFill>
              <w14:schemeClr w14:val="tx1"/>
            </w14:solidFill>
          </w14:textFill>
        </w:rPr>
        <w:t>保底金额</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为38</w:t>
      </w:r>
      <w:r>
        <w:rPr>
          <w:rFonts w:hint="default" w:ascii="Times New Roman" w:hAnsi="Times New Roman" w:eastAsia="仿宋_GB2312" w:cs="Times New Roman"/>
          <w:color w:val="000000" w:themeColor="text1"/>
          <w:kern w:val="0"/>
          <w:sz w:val="32"/>
          <w:szCs w:val="32"/>
          <w14:textFill>
            <w14:solidFill>
              <w14:schemeClr w14:val="tx1"/>
            </w14:solidFill>
          </w14:textFill>
        </w:rPr>
        <w:t>00元</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6797FB44">
      <w:pPr>
        <w:pStyle w:val="9"/>
        <w:keepNext w:val="0"/>
        <w:keepLines w:val="0"/>
        <w:widowControl/>
        <w:suppressLineNumbers w:val="0"/>
        <w:shd w:val="clear" w:fill="FFFFFF"/>
        <w:spacing w:line="560" w:lineRule="exact"/>
        <w:ind w:left="0" w:firstLine="643" w:firstLineChars="200"/>
        <w:rPr>
          <w:rFonts w:hint="default" w:ascii="Times New Roman" w:hAnsi="Times New Roman" w:eastAsia="楷体_GB2312" w:cs="Times New Roman"/>
          <w:b/>
          <w:bCs/>
          <w:color w:val="000000" w:themeColor="text1"/>
          <w:kern w:val="0"/>
          <w:sz w:val="32"/>
          <w:szCs w:val="32"/>
          <w:shd w:val="clear" w:fill="FFFFFF"/>
          <w:lang w:val="en-US" w:eastAsia="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fill="FFFFFF"/>
          <w:lang w:val="en-US" w:eastAsia="zh-CN"/>
          <w14:textFill>
            <w14:solidFill>
              <w14:schemeClr w14:val="tx1"/>
            </w14:solidFill>
          </w14:textFill>
        </w:rPr>
        <w:t>三</w:t>
      </w:r>
      <w:r>
        <w:rPr>
          <w:rFonts w:hint="default" w:ascii="Times New Roman" w:hAnsi="Times New Roman" w:eastAsia="楷体_GB2312" w:cs="Times New Roman"/>
          <w:b/>
          <w:bCs/>
          <w:color w:val="000000" w:themeColor="text1"/>
          <w:kern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fill="FFFFFF"/>
          <w:lang w:val="en-US" w:eastAsia="zh-CN"/>
          <w14:textFill>
            <w14:solidFill>
              <w14:schemeClr w14:val="tx1"/>
            </w14:solidFill>
          </w14:textFill>
        </w:rPr>
        <w:t>经营业态品类</w:t>
      </w:r>
    </w:p>
    <w:p w14:paraId="57A49961">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为满足车站旅客多样化的消费需求，合作方（含合作方自行招募的次级经营商户）须按照本方案第二条要求，同步经营2种及以上的业态品类。</w:t>
      </w:r>
    </w:p>
    <w:p w14:paraId="204C0938">
      <w:pPr>
        <w:pStyle w:val="5"/>
        <w:keepNext w:val="0"/>
        <w:keepLines w:val="0"/>
        <w:widowControl/>
        <w:suppressLineNumbers w:val="0"/>
        <w:shd w:val="clear" w:fill="FFFFFF"/>
        <w:spacing w:before="0" w:beforeAutospacing="0" w:after="0" w:afterAutospacing="0" w:line="560" w:lineRule="exact"/>
        <w:ind w:left="0" w:right="0" w:firstLine="643" w:firstLineChars="200"/>
        <w:jc w:val="both"/>
        <w:rPr>
          <w:rFonts w:hint="default" w:ascii="Times New Roman" w:hAnsi="Times New Roman" w:eastAsia="楷体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fill="FFFFFF"/>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shd w:val="clear" w:fill="FFFFFF"/>
          <w:lang w:eastAsia="zh-CN"/>
          <w14:textFill>
            <w14:solidFill>
              <w14:schemeClr w14:val="tx1"/>
            </w14:solidFill>
          </w14:textFill>
        </w:rPr>
        <w:t>资金结算与销售数据管理</w:t>
      </w:r>
    </w:p>
    <w:p w14:paraId="5200D74C">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结算时间：</w:t>
      </w:r>
      <w:r>
        <w:rPr>
          <w:rFonts w:hint="default" w:ascii="Times New Roman" w:hAnsi="Times New Roman" w:eastAsia="仿宋_GB2312" w:cs="Times New Roman"/>
          <w:color w:val="000000" w:themeColor="text1"/>
          <w:kern w:val="0"/>
          <w:sz w:val="32"/>
          <w:szCs w:val="32"/>
          <w14:textFill>
            <w14:solidFill>
              <w14:schemeClr w14:val="tx1"/>
            </w14:solidFill>
          </w14:textFill>
        </w:rPr>
        <w:t>双方以自然月为</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对账</w:t>
      </w:r>
      <w:r>
        <w:rPr>
          <w:rFonts w:hint="default" w:ascii="Times New Roman" w:hAnsi="Times New Roman" w:eastAsia="仿宋_GB2312" w:cs="Times New Roman"/>
          <w:color w:val="000000" w:themeColor="text1"/>
          <w:kern w:val="0"/>
          <w:sz w:val="32"/>
          <w:szCs w:val="32"/>
          <w14:textFill>
            <w14:solidFill>
              <w14:schemeClr w14:val="tx1"/>
            </w14:solidFill>
          </w14:textFill>
        </w:rPr>
        <w:t>周期，次月5个工作日内完成上月销售数据核对、费用确认</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合作方核对</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无误</w:t>
      </w:r>
      <w:r>
        <w:rPr>
          <w:rFonts w:hint="default" w:ascii="Times New Roman" w:hAnsi="Times New Roman" w:eastAsia="仿宋_GB2312" w:cs="Times New Roman"/>
          <w:color w:val="000000" w:themeColor="text1"/>
          <w:kern w:val="0"/>
          <w:sz w:val="32"/>
          <w:szCs w:val="32"/>
          <w14:textFill>
            <w14:solidFill>
              <w14:schemeClr w14:val="tx1"/>
            </w14:solidFill>
          </w14:textFill>
        </w:rPr>
        <w:t>后3个工作</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日内</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足额</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将联营费用</w:t>
      </w:r>
      <w:r>
        <w:rPr>
          <w:rFonts w:hint="default" w:ascii="Times New Roman" w:hAnsi="Times New Roman" w:eastAsia="仿宋_GB2312" w:cs="Times New Roman"/>
          <w:color w:val="000000" w:themeColor="text1"/>
          <w:kern w:val="0"/>
          <w:sz w:val="32"/>
          <w:szCs w:val="32"/>
          <w14:textFill>
            <w14:solidFill>
              <w14:schemeClr w14:val="tx1"/>
            </w14:solidFill>
          </w14:textFill>
        </w:rPr>
        <w:t>缴付至</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客运站公司</w:t>
      </w:r>
      <w:r>
        <w:rPr>
          <w:rFonts w:hint="default" w:ascii="Times New Roman" w:hAnsi="Times New Roman" w:eastAsia="仿宋_GB2312" w:cs="Times New Roman"/>
          <w:color w:val="000000" w:themeColor="text1"/>
          <w:kern w:val="0"/>
          <w:sz w:val="32"/>
          <w:szCs w:val="32"/>
          <w14:textFill>
            <w14:solidFill>
              <w14:schemeClr w14:val="tx1"/>
            </w14:solidFill>
          </w14:textFill>
        </w:rPr>
        <w:t>指定</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对公</w:t>
      </w:r>
      <w:r>
        <w:rPr>
          <w:rFonts w:hint="default" w:ascii="Times New Roman" w:hAnsi="Times New Roman" w:eastAsia="仿宋_GB2312" w:cs="Times New Roman"/>
          <w:color w:val="000000" w:themeColor="text1"/>
          <w:kern w:val="0"/>
          <w:sz w:val="32"/>
          <w:szCs w:val="32"/>
          <w14:textFill>
            <w14:solidFill>
              <w14:schemeClr w14:val="tx1"/>
            </w14:solidFill>
          </w14:textFill>
        </w:rPr>
        <w:t>账户</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2D840DCE">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销售系统</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要求</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：销售系统由合作方自行</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采购搭建</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（系统版本、功能须经客运站公司认可），所有商品进销存、每</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一</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笔销售收入</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须</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实时、</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完整</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录入系统；合作方须向</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开放</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后台</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无限</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查询权限、</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店内</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监控</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实时</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查</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看</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权限；</w:t>
      </w:r>
    </w:p>
    <w:p w14:paraId="60C5F661">
      <w:pPr>
        <w:pStyle w:val="9"/>
        <w:keepNext w:val="0"/>
        <w:keepLines w:val="0"/>
        <w:widowControl w:val="0"/>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数据真实性</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管控</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：合作方</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严禁</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隐瞒、篡改销售数据，</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禁止</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私设</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独立</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收银台、体外循环收款（包括但不限于私人微信、私人支付宝等线下私下收款渠道）。一经</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查实</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，客运</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公司有权</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单方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解除合作，并追究全部违约责任；</w:t>
      </w:r>
    </w:p>
    <w:p w14:paraId="6CEE4DB7">
      <w:pPr>
        <w:pStyle w:val="9"/>
        <w:keepNext w:val="0"/>
        <w:keepLines w:val="0"/>
        <w:widowControl w:val="0"/>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4.</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保密义务：</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公司承诺对通过</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查询</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权限获取的合作方经营数据、商业秘密承担保密</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责任</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数据</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仅用于对账核查、</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日常</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运营管理，不得向第三方泄露、不得挪作其他商业用途。</w:t>
      </w:r>
    </w:p>
    <w:p w14:paraId="4B727593">
      <w:pPr>
        <w:pStyle w:val="5"/>
        <w:keepNext w:val="0"/>
        <w:keepLines w:val="0"/>
        <w:widowControl/>
        <w:suppressLineNumbers w:val="0"/>
        <w:shd w:val="clear" w:fill="FFFFFF"/>
        <w:spacing w:before="0" w:beforeAutospacing="0" w:after="0" w:afterAutospacing="0" w:line="560" w:lineRule="exact"/>
        <w:ind w:left="0" w:right="0" w:firstLine="643" w:firstLineChars="200"/>
        <w:jc w:val="both"/>
        <w:rPr>
          <w:rFonts w:hint="default" w:ascii="Times New Roman" w:hAnsi="Times New Roman" w:eastAsia="楷体_GB2312" w:cs="Times New Roman"/>
          <w:b/>
          <w:bCs/>
          <w:color w:val="000000" w:themeColor="text1"/>
          <w:sz w:val="32"/>
          <w:szCs w:val="32"/>
          <w:shd w:val="clear" w:fill="FFFFFF"/>
          <w:lang w:val="en-US"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shd w:val="clear" w:fill="FFFFFF"/>
          <w:lang w:val="en-US" w:eastAsia="zh-CN"/>
          <w14:textFill>
            <w14:solidFill>
              <w14:schemeClr w14:val="tx1"/>
            </w14:solidFill>
          </w14:textFill>
        </w:rPr>
        <w:t>五</w:t>
      </w: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）驻店人员管理要求</w:t>
      </w:r>
    </w:p>
    <w:p w14:paraId="0554AC77">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为保障服食品安全、</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服</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务质量</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与</w:t>
      </w:r>
      <w:r>
        <w:rPr>
          <w:rFonts w:hint="eastAsia"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站</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整体对外</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形象，合作方须严格</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执行</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以下人员管理规定：</w:t>
      </w:r>
    </w:p>
    <w:p w14:paraId="087F9CAB">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持证上岗：所有在</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岗</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从业人员须持有有效健康证明，合作期内</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证件</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持续有效，到期前</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完成</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体检换证；</w:t>
      </w:r>
    </w:p>
    <w:p w14:paraId="65815A44">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着装规范：员</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工</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上岗统一</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穿戴</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品牌工作服，保持个人卫生整洁；</w:t>
      </w:r>
    </w:p>
    <w:p w14:paraId="69FFF462">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岗前培训：合作方须对食品安全、消防安全、服务</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礼仪</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、车站管理制度</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开展</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岗前培训，</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员工</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培训合格后方可上岗；</w:t>
      </w:r>
    </w:p>
    <w:p w14:paraId="611F43F6">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4.</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在岗</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人员配置：经营时</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段</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基础营业时间</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每日</w:t>
      </w:r>
      <w:r>
        <w:rPr>
          <w:rFonts w:hint="eastAsia"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:00-</w:t>
      </w:r>
      <w:r>
        <w:rPr>
          <w:rFonts w:hint="eastAsia"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w:t>
      </w:r>
      <w:r>
        <w:rPr>
          <w:rFonts w:hint="eastAsia"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0</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，可根据客流调整，</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调整时间经客运站公司书面同意后执行</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店内至</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少</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配备</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名熟练</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工作</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人员在岗，</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保障</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正常</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接待</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服务；</w:t>
      </w:r>
    </w:p>
    <w:p w14:paraId="09052EB3">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5.</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行为约束：驻店人员不得在经营区域内吸烟、</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从事与工作</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无关</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活动</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严禁纵容纳社会人员在店内拉客、赌博、实施诈骗等违规违法行为；禁止与旅客、市民</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发生争执、</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发表</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不当言行；</w:t>
      </w:r>
    </w:p>
    <w:p w14:paraId="0B82C635">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6.</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配合</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义务</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店内工作人员</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须配合</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公司管理人员</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开展</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日常巡查、卫生检查、食品安全抽检，</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按时完成整改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主动配合创文、创卫各类专项整治工作。</w:t>
      </w:r>
    </w:p>
    <w:p w14:paraId="10C26FB0">
      <w:pPr>
        <w:keepNext w:val="0"/>
        <w:keepLines w:val="0"/>
        <w:widowControl/>
        <w:suppressLineNumbers w:val="0"/>
        <w:spacing w:before="0" w:beforeAutospacing="0" w:after="0" w:afterAutospacing="0" w:line="560" w:lineRule="exact"/>
        <w:ind w:left="0" w:right="0" w:firstLine="643" w:firstLineChars="200"/>
        <w:jc w:val="both"/>
        <w:rPr>
          <w:rFonts w:hint="default" w:ascii="Times New Roman" w:hAnsi="Times New Roman" w:eastAsia="楷体_GB2312" w:cs="Times New Roman"/>
          <w:b/>
          <w:bCs/>
          <w:color w:val="000000" w:themeColor="text1"/>
          <w:sz w:val="32"/>
          <w:szCs w:val="32"/>
          <w:lang w:val="en-US"/>
          <w14:textFill>
            <w14:solidFill>
              <w14:schemeClr w14:val="tx1"/>
            </w14:solidFill>
          </w14:textFill>
        </w:rPr>
      </w:pPr>
      <w:r>
        <w:rPr>
          <w:rFonts w:hint="default" w:ascii="Times New Roman" w:hAnsi="Times New Roman" w:eastAsia="楷体_GB2312" w:cs="Times New Roman"/>
          <w:b/>
          <w:bCs/>
          <w:color w:val="000000" w:themeColor="text1"/>
          <w:kern w:val="2"/>
          <w:sz w:val="32"/>
          <w:szCs w:val="32"/>
          <w:shd w:val="clear" w:fill="FFFFFF"/>
          <w:lang w:val="en-US" w:eastAsia="zh-CN" w:bidi="ar"/>
          <w14:textFill>
            <w14:solidFill>
              <w14:schemeClr w14:val="tx1"/>
            </w14:solidFill>
          </w14:textFill>
        </w:rPr>
        <w:t>（六）合作期限</w:t>
      </w:r>
    </w:p>
    <w:p w14:paraId="6BE69878">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合作期限</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共计3</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年，</w:t>
      </w:r>
      <w:bookmarkStart w:id="0" w:name="OLE_LINK1"/>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自双方正式</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签订</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合作协议之日起计算</w:t>
      </w:r>
      <w:bookmarkEnd w:id="0"/>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2A86ACD6">
      <w:pPr>
        <w:keepNext w:val="0"/>
        <w:keepLines w:val="0"/>
        <w:widowControl/>
        <w:suppressLineNumbers w:val="0"/>
        <w:spacing w:before="0" w:beforeAutospacing="0" w:after="0" w:afterAutospacing="0" w:line="560" w:lineRule="exact"/>
        <w:ind w:left="0" w:right="0" w:firstLine="643" w:firstLineChars="200"/>
        <w:jc w:val="both"/>
        <w:rPr>
          <w:rFonts w:hint="default" w:ascii="Times New Roman" w:hAnsi="Times New Roman" w:eastAsia="楷体_GB2312" w:cs="Times New Roman"/>
          <w:b/>
          <w:bCs/>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楷体_GB2312" w:cs="Times New Roman"/>
          <w:b/>
          <w:bCs/>
          <w:color w:val="000000" w:themeColor="text1"/>
          <w:kern w:val="2"/>
          <w:sz w:val="32"/>
          <w:szCs w:val="32"/>
          <w:shd w:val="clear" w:fill="FFFFFF"/>
          <w:lang w:val="en-US" w:eastAsia="zh-CN" w:bidi="ar"/>
          <w14:textFill>
            <w14:solidFill>
              <w14:schemeClr w14:val="tx1"/>
            </w14:solidFill>
          </w14:textFill>
        </w:rPr>
        <w:t>（七）开业时间要求</w:t>
      </w:r>
    </w:p>
    <w:p w14:paraId="75B28B95">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开业期限：合作方须在</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正式合作协议签订</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之日起</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30</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个自然日内，完成</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全部装修、</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设备</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采购</w:t>
      </w:r>
      <w:r>
        <w:rPr>
          <w:rFonts w:hint="eastAsia"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安装调试并正式对外营业，</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实际</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开业日期以双方书面确认开业通知为准；</w:t>
      </w:r>
    </w:p>
    <w:p w14:paraId="6B90CB44">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延期申请：因不可抗力、</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自身原因无法</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按期开业的，合作方可</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提交</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书面延期申请，经</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公司书面</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批复</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后</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可顺延</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工期</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72A3D1FC">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逾期开业违约责任：</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开业</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逾期超过</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15</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日，</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可</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按日</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计</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收违约金，具体标准以正式合作协议约定为准；</w:t>
      </w:r>
    </w:p>
    <w:p w14:paraId="52D29690">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4.</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根本性违约判定：</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无正当理由逾期</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开业</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超</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30</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日，视为</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合作方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根本性违约，</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公司有权单方解除合作协议，不予退还履约保证金，并</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依法</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追究合作方损失赔偿责任；</w:t>
      </w:r>
    </w:p>
    <w:p w14:paraId="1BCF2F22">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5.</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违约金标准、催告</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流程</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、宽限期等细</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，以双方签署正式合作协议</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内容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为准。</w:t>
      </w:r>
    </w:p>
    <w:p w14:paraId="18BFA22A">
      <w:pPr>
        <w:pStyle w:val="5"/>
        <w:keepNext w:val="0"/>
        <w:keepLines w:val="0"/>
        <w:widowControl/>
        <w:suppressLineNumbers w:val="0"/>
        <w:shd w:val="clear" w:fill="FFFFFF"/>
        <w:spacing w:before="0" w:beforeAutospacing="0" w:after="0" w:afterAutospacing="0" w:line="560" w:lineRule="exact"/>
        <w:ind w:left="0" w:right="0" w:firstLine="643" w:firstLineChars="200"/>
        <w:jc w:val="both"/>
        <w:rPr>
          <w:rFonts w:hint="default" w:ascii="Times New Roman" w:hAnsi="Times New Roman" w:eastAsia="楷体_GB2312" w:cs="Times New Roman"/>
          <w:b/>
          <w:bCs/>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shd w:val="clear" w:fill="FFFFFF"/>
          <w:lang w:val="en-US" w:eastAsia="zh-CN"/>
          <w14:textFill>
            <w14:solidFill>
              <w14:schemeClr w14:val="tx1"/>
            </w14:solidFill>
          </w14:textFill>
        </w:rPr>
        <w:t>八</w:t>
      </w:r>
      <w:r>
        <w:rPr>
          <w:rFonts w:hint="default" w:ascii="Times New Roman" w:hAnsi="Times New Roman" w:eastAsia="楷体_GB2312" w:cs="Times New Roman"/>
          <w:b/>
          <w:bCs/>
          <w:color w:val="000000" w:themeColor="text1"/>
          <w:sz w:val="32"/>
          <w:szCs w:val="32"/>
          <w:shd w:val="clear" w:fill="FFFFFF"/>
          <w:lang w:eastAsia="zh-CN"/>
          <w14:textFill>
            <w14:solidFill>
              <w14:schemeClr w14:val="tx1"/>
            </w14:solidFill>
          </w14:textFill>
        </w:rPr>
        <w:t>）履约保证金</w:t>
      </w:r>
    </w:p>
    <w:p w14:paraId="7FACCBAC">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为约束合作方切实履行、保障项目稳定运营，合作方签订正式合作协议后</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5</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个工作日内，</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须</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一次性</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足额</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缴纳履约保证金，具体约定如下：</w:t>
      </w:r>
    </w:p>
    <w:p w14:paraId="29A9ED6D">
      <w:pPr>
        <w:pStyle w:val="9"/>
        <w:keepNext w:val="0"/>
        <w:keepLines w:val="0"/>
        <w:widowControl/>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保证金金额：人民币壹万元整（</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¥10,000.00</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p>
    <w:p w14:paraId="48673530">
      <w:pPr>
        <w:pStyle w:val="9"/>
        <w:keepNext w:val="0"/>
        <w:keepLines w:val="0"/>
        <w:widowControl w:val="0"/>
        <w:suppressLineNumbers w:val="0"/>
        <w:shd w:val="clear" w:fill="FFFFFF"/>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保证范围：</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覆盖</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合作方协议项下</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全部履约</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义务，包括但不限于按时开业、持续经营、人员</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规范</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联营</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费用</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按期</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缴纳、场地设施保护、合作终止后撤场交接等；</w:t>
      </w:r>
    </w:p>
    <w:p w14:paraId="3A860B34">
      <w:pPr>
        <w:pStyle w:val="9"/>
        <w:keepNext w:val="0"/>
        <w:keepLines w:val="0"/>
        <w:widowControl w:val="0"/>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保证金</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扣除情形：合作方</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出现</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下列任一行为，</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客运站</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公司</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可直接</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从保证金</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内抵</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扣</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应</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款项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抵</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扣</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后</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保证金不足以弥补损失的，可另行追偿：</w:t>
      </w:r>
    </w:p>
    <w:p w14:paraId="3FAD1523">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1</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）合作期内无正当理由擅自停业、单方</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提前</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解除合作协议的，保证金</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全额</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不予退还；</w:t>
      </w:r>
    </w:p>
    <w:p w14:paraId="7CE7C7E9">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）未按时足额缴纳联营费用，经</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书面</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催告后仍</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拒</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不支付的，扣除对应欠款金额；</w:t>
      </w:r>
    </w:p>
    <w:p w14:paraId="2FECEE9E">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3</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）因合作方</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操作、管理不当</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造成经营区域设施损毁，扣除</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对</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应维修</w:t>
      </w: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重置</w:t>
      </w: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费用；</w:t>
      </w:r>
    </w:p>
    <w:p w14:paraId="74330814">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（4）合作协议终止后，未按约定时限完成撤场清场，扣除场地清理、物品清运费用；</w:t>
      </w:r>
    </w:p>
    <w:p w14:paraId="292DB9B4">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（5）其他违约行为给客运站公司造成经济损失的情形。</w:t>
      </w:r>
    </w:p>
    <w:p w14:paraId="39D60188">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shd w:val="clear" w:fill="FFFFFF"/>
          <w:lang w:val="en-US"/>
          <w14:textFill>
            <w14:solidFill>
              <w14:schemeClr w14:val="tx1"/>
            </w14:solidFill>
          </w14:textFill>
        </w:rPr>
        <w:t>保证金退还规则：合作期满、合作方无任何违约记录、所有款项结清、完整完成场地撤场交接后，客运站公司于交接完成15个工作日内，无息退还保证金剩余余额；</w:t>
      </w:r>
    </w:p>
    <w:p w14:paraId="32A5859F">
      <w:pPr>
        <w:pStyle w:val="5"/>
        <w:keepNext w:val="0"/>
        <w:keepLines w:val="0"/>
        <w:widowControl/>
        <w:suppressLineNumbers w:val="0"/>
        <w:shd w:val="clear" w:fill="FFFFFF"/>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kern w:val="2"/>
          <w:sz w:val="32"/>
          <w:szCs w:val="32"/>
          <w:shd w:val="clear"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shd w:val="clear"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kern w:val="2"/>
          <w:sz w:val="32"/>
          <w:szCs w:val="32"/>
          <w:shd w:val="clear" w:fill="FFFFFF"/>
          <w:lang w:val="en-US"/>
          <w14:textFill>
            <w14:solidFill>
              <w14:schemeClr w14:val="tx1"/>
            </w14:solidFill>
          </w14:textFill>
        </w:rPr>
        <w:t>保证金补足义务：保证金因扣款后余额低于原金额50%的，客运站公司有权要求合作方10个工作日内补足至10000元；拒不补足视为根本性违约。</w:t>
      </w:r>
    </w:p>
    <w:p w14:paraId="23F5012A">
      <w:pPr>
        <w:pStyle w:val="5"/>
        <w:keepNext w:val="0"/>
        <w:keepLines w:val="0"/>
        <w:widowControl/>
        <w:suppressLineNumbers w:val="0"/>
        <w:shd w:val="clear" w:fill="FFFFFF"/>
        <w:spacing w:before="0" w:beforeAutospacing="0" w:after="0" w:afterAutospacing="0" w:line="560" w:lineRule="exact"/>
        <w:ind w:left="0" w:right="0" w:firstLine="643" w:firstLineChars="200"/>
        <w:jc w:val="both"/>
        <w:rPr>
          <w:rFonts w:hint="default" w:ascii="Times New Roman" w:hAnsi="Times New Roman" w:eastAsia="楷体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楷体_GB2312" w:cs="Times New Roman"/>
          <w:color w:val="000000" w:themeColor="text1"/>
          <w:sz w:val="32"/>
          <w:szCs w:val="32"/>
          <w:shd w:val="clear" w:fill="FFFFFF"/>
          <w:lang w:val="en-US" w:eastAsia="zh-CN"/>
          <w14:textFill>
            <w14:solidFill>
              <w14:schemeClr w14:val="tx1"/>
            </w14:solidFill>
          </w14:textFill>
        </w:rPr>
        <w:t>九</w:t>
      </w:r>
      <w:r>
        <w:rPr>
          <w:rFonts w:hint="default" w:ascii="Times New Roman" w:hAnsi="Times New Roman" w:eastAsia="楷体_GB2312" w:cs="Times New Roman"/>
          <w:color w:val="000000" w:themeColor="text1"/>
          <w:sz w:val="32"/>
          <w:szCs w:val="32"/>
          <w:shd w:val="clear" w:fill="FFFFFF"/>
          <w:lang w:eastAsia="zh-CN"/>
          <w14:textFill>
            <w14:solidFill>
              <w14:schemeClr w14:val="tx1"/>
            </w14:solidFill>
          </w14:textFill>
        </w:rPr>
        <w:t>）违约责任</w:t>
      </w:r>
    </w:p>
    <w:p w14:paraId="5240D8F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合作周期内双方均须全面履行合作协议约定义务，任意一方违约按以下规则处置：</w:t>
      </w:r>
    </w:p>
    <w:p w14:paraId="34C41A0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t>1.销售数据造假专项约定：合作方所有经营数据、销售记录、账务凭证必须真实、完整、准确。若存在篡改营收数据、隐瞒销售收入、伪造交易流水、体外私收款项等弄虚作假行为，一经核实直接认定为根本性违约。客运站公司可立即解除合作、没收全部履约保证金，并保留追究合作方经济赔偿、法律追责的权利；具体罚款标准、损失核算方式以正式合作协议为准。</w:t>
      </w:r>
    </w:p>
    <w:p w14:paraId="0C9B701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t>2.合作方常见违约情形：擅自停业、超出核准经营范围经营、违规使用明火/违禁电器、人员管理严重违规、逾期拖欠联营费用、经营资质被吊销、从事违法经营活动等。</w:t>
      </w:r>
    </w:p>
    <w:p w14:paraId="3C2FAEB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t>3.客运站公司违约情形：无合理理由断水断电干扰正常经营、无正当理由单方提前解除合作；若客运站单方无故解约，除按协议赔偿合作方损失外，须在协议解除后10个工作日内全额无息退还履约保证金。</w:t>
      </w:r>
    </w:p>
    <w:p w14:paraId="6FB62FD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t>4.违约处置方式：违约方承担对应责任，包含限期整改、支付违约金、赔偿实际损失；构成根本性违约的，守约方有权单方解除合作协议。</w:t>
      </w:r>
    </w:p>
    <w:p w14:paraId="176BD41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t>5.协议终止后场地处置：合作协议到期/提前解除，合作方须按约定期限清空撤场；逾期未搬离的物品，客运站公司有权自行处置，无需承担保管、赔偿责任。</w:t>
      </w:r>
    </w:p>
    <w:p w14:paraId="4CCE1994">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fill="FFFFFF"/>
          <w:lang w:val="en-US" w:eastAsia="zh-CN" w:bidi="ar"/>
          <w14:textFill>
            <w14:solidFill>
              <w14:schemeClr w14:val="tx1"/>
            </w14:solidFill>
          </w14:textFill>
        </w:rPr>
        <w:t>6.违约情形认定标准、违约金计算、赔偿细则，均以正式合作协议为准。</w:t>
      </w:r>
    </w:p>
    <w:p w14:paraId="1BEFE5AC">
      <w:pPr>
        <w:pStyle w:val="5"/>
        <w:keepNext w:val="0"/>
        <w:keepLines w:val="0"/>
        <w:widowControl/>
        <w:suppressLineNumbers w:val="0"/>
        <w:shd w:val="clear" w:fill="FFFFFF"/>
        <w:spacing w:before="0" w:beforeAutospacing="0" w:after="0" w:afterAutospacing="0" w:line="560" w:lineRule="exact"/>
        <w:ind w:left="0" w:right="0" w:firstLine="643" w:firstLineChars="200"/>
        <w:jc w:val="both"/>
        <w:rPr>
          <w:rFonts w:hint="default" w:ascii="Times New Roman" w:hAnsi="Times New Roman" w:eastAsia="楷体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color w:val="000000" w:themeColor="text1"/>
          <w:sz w:val="32"/>
          <w:szCs w:val="32"/>
          <w:shd w:val="clear" w:fill="FFFFFF"/>
          <w:lang w:eastAsia="zh-CN"/>
          <w14:textFill>
            <w14:solidFill>
              <w14:schemeClr w14:val="tx1"/>
            </w14:solidFill>
          </w14:textFill>
        </w:rPr>
        <w:t>（</w:t>
      </w:r>
      <w:r>
        <w:rPr>
          <w:rFonts w:hint="default" w:ascii="Times New Roman" w:hAnsi="Times New Roman" w:eastAsia="楷体_GB2312" w:cs="Times New Roman"/>
          <w:color w:val="000000" w:themeColor="text1"/>
          <w:sz w:val="32"/>
          <w:szCs w:val="32"/>
          <w:shd w:val="clear" w:fill="FFFFFF"/>
          <w:lang w:val="en-US" w:eastAsia="zh-CN"/>
          <w14:textFill>
            <w14:solidFill>
              <w14:schemeClr w14:val="tx1"/>
            </w14:solidFill>
          </w14:textFill>
        </w:rPr>
        <w:t>十</w:t>
      </w:r>
      <w:r>
        <w:rPr>
          <w:rFonts w:hint="default" w:ascii="Times New Roman" w:hAnsi="Times New Roman" w:eastAsia="楷体_GB2312" w:cs="Times New Roman"/>
          <w:color w:val="000000" w:themeColor="text1"/>
          <w:sz w:val="32"/>
          <w:szCs w:val="32"/>
          <w:shd w:val="clear" w:fill="FFFFFF"/>
          <w:lang w:eastAsia="zh-CN"/>
          <w14:textFill>
            <w14:solidFill>
              <w14:schemeClr w14:val="tx1"/>
            </w14:solidFill>
          </w14:textFill>
        </w:rPr>
        <w:t>）其他全部经营成本承担主体</w:t>
      </w:r>
    </w:p>
    <w:p w14:paraId="2DC5AE9F">
      <w:pPr>
        <w:keepNext w:val="0"/>
        <w:keepLines w:val="0"/>
        <w:widowControl w:val="0"/>
        <w:suppressLineNumbers w:val="0"/>
        <w:snapToGrid w:val="0"/>
        <w:spacing w:before="0" w:beforeAutospacing="0" w:after="0" w:afterAutospacing="0" w:line="560" w:lineRule="exact"/>
        <w:ind w:left="0" w:right="0" w:firstLine="640" w:firstLineChars="200"/>
        <w:jc w:val="both"/>
        <w:rPr>
          <w:rFonts w:hint="default" w:ascii="Times New Roman" w:hAnsi="Times New Roman" w:eastAsia="黑体" w:cs="Times New Roman"/>
          <w:b w:val="0"/>
          <w:bCs w:val="0"/>
          <w:color w:val="000000" w:themeColor="text1"/>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shd w:val="clear" w:fill="FFFFFF"/>
          <w:lang w:eastAsia="zh-CN"/>
          <w14:textFill>
            <w14:solidFill>
              <w14:schemeClr w14:val="tx1"/>
            </w14:solidFill>
          </w14:textFill>
        </w:rPr>
        <w:t>合作方自行承担经营期间产生的全部成本开支，包括但不限于商铺装修、设备采购维保、原材料采购、员工薪酬、水电费用、宣传物料、垃圾清运等全部费用。</w:t>
      </w:r>
    </w:p>
    <w:p w14:paraId="69747833">
      <w:pPr>
        <w:keepNext w:val="0"/>
        <w:keepLines w:val="0"/>
        <w:widowControl w:val="0"/>
        <w:suppressLineNumbers w:val="0"/>
        <w:snapToGrid w:val="0"/>
        <w:spacing w:before="0" w:beforeAutospacing="0" w:after="0" w:afterAutospacing="0" w:line="560" w:lineRule="exact"/>
        <w:ind w:left="0" w:right="0" w:firstLine="640" w:firstLineChars="200"/>
        <w:jc w:val="both"/>
        <w:rPr>
          <w:rFonts w:hint="default" w:ascii="Times New Roman" w:hAnsi="Times New Roman" w:eastAsia="黑体" w:cs="Times New Roman"/>
          <w:b w:val="0"/>
          <w:bCs w:val="0"/>
          <w:color w:val="000000" w:themeColor="text1"/>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shd w:val="clear" w:fill="FFFFFF"/>
          <w:lang w:val="en-US" w:eastAsia="zh-CN" w:bidi="ar"/>
          <w14:textFill>
            <w14:solidFill>
              <w14:schemeClr w14:val="tx1"/>
            </w14:solidFill>
          </w14:textFill>
        </w:rPr>
        <w:t>四、意向合作方选取规则</w:t>
      </w:r>
    </w:p>
    <w:p w14:paraId="07453487">
      <w:pPr>
        <w:pStyle w:val="4"/>
        <w:widowControl/>
        <w:spacing w:before="0" w:beforeAutospacing="0" w:after="0" w:afterAutospacing="0" w:line="560" w:lineRule="exact"/>
        <w:ind w:left="0" w:right="0" w:firstLine="640" w:firstLineChars="200"/>
        <w:jc w:val="both"/>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
          <w14:textFill>
            <w14:solidFill>
              <w14:schemeClr w14:val="tx1"/>
            </w14:solidFill>
          </w14:textFill>
        </w:rPr>
        <w:t>为择优确定合作单位，最大化发挥场地商业价值，全程遵循公平、公正、公开原则，本项目实行两轮筛选机制。</w:t>
      </w:r>
    </w:p>
    <w:p w14:paraId="3C499967">
      <w:pPr>
        <w:pStyle w:val="4"/>
        <w:widowControl/>
        <w:spacing w:before="0" w:beforeAutospacing="0" w:after="0" w:afterAutospacing="0" w:line="560" w:lineRule="exact"/>
        <w:ind w:left="0" w:right="0" w:firstLine="643" w:firstLineChars="200"/>
        <w:jc w:val="both"/>
        <w:rPr>
          <w:rFonts w:hint="default" w:ascii="Times New Roman" w:hAnsi="Times New Roman" w:eastAsia="楷体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color w:val="000000" w:themeColor="text1"/>
          <w:sz w:val="32"/>
          <w:szCs w:val="32"/>
          <w:lang w:eastAsia="zh-CN"/>
          <w14:textFill>
            <w14:solidFill>
              <w14:schemeClr w14:val="tx1"/>
            </w14:solidFill>
          </w14:textFill>
        </w:rPr>
        <w:t>（一）公开招募与资料收集</w:t>
      </w:r>
    </w:p>
    <w:p w14:paraId="155C9883">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报名截止时间：本方案发布之日起至2026年7月3</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日17:30（以客运站公司收到完整书面纸质资料时间为准，逾期提交一律不予受理）；</w:t>
      </w:r>
    </w:p>
    <w:p w14:paraId="7B0D7138">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报名方式：意向合作方须前往指定地点现场报名，填写《中山汽车总站候车室商铺意向合作报名登记表》（详见附件）并完整提交全套申报材料；</w:t>
      </w:r>
      <w:bookmarkStart w:id="1" w:name="_GoBack"/>
      <w:bookmarkEnd w:id="1"/>
    </w:p>
    <w:p w14:paraId="3AFE0E5E">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报名地址：中山市西区富华道48号中山汽车总站内，中山市城市汽车客运站有限公司；</w:t>
      </w:r>
    </w:p>
    <w:p w14:paraId="5D354F09">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资料提交硬性要求：全部纸质材料加盖申报单位公章，复印件标注“与原件核对无误”；材料缺漏、缺失关键文件视为自动放弃报名资格。需提交资料清单：</w:t>
      </w:r>
    </w:p>
    <w:p w14:paraId="0F8F2DF4">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（1）报名登记表原件，完整规范填写；</w:t>
      </w:r>
    </w:p>
    <w:p w14:paraId="0F4E380E">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（2）主体资质文件：企业营业执照、法定代表人身份证复印件；</w:t>
      </w:r>
    </w:p>
    <w:p w14:paraId="6E0418C7">
      <w:pPr>
        <w:pStyle w:val="4"/>
        <w:widowControl w:val="0"/>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（3）经营资质文件：经营食品、饮品、简餐业态需提供食品经营许可证；经营特产、零售品类可配套提供产品合格证明；</w:t>
      </w:r>
    </w:p>
    <w:p w14:paraId="719E0311">
      <w:pPr>
        <w:pStyle w:val="4"/>
        <w:widowControl w:val="0"/>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（4）品牌资料：品牌简介、线下门店实景案例照片及文字说明；</w:t>
      </w:r>
    </w:p>
    <w:p w14:paraId="2AE874CC">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（5）合作报价承诺：书面承诺拟申报营收分成比例、自愿承担月度保底费用（分成比例不得低于8%）；</w:t>
      </w:r>
    </w:p>
    <w:p w14:paraId="427DD270">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shd w:val="clear" w:fill="auto"/>
          <w:lang w:bidi="ar"/>
          <w14:textFill>
            <w14:solidFill>
              <w14:schemeClr w14:val="tx1"/>
            </w14:solidFill>
          </w14:textFill>
        </w:rPr>
        <w:t>品牌实力与经营业绩</w:t>
      </w: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佐证：同类业态经营证明（自营门店营业执照、加盟合作协议，申报主体名称须与本次报名企业完全一致）；</w:t>
      </w:r>
    </w:p>
    <w:p w14:paraId="58A495E2">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（7）商铺专项运营方案：包含拟经营业态、服务质量保障措施、车站专属营销方案、固定营业时间、驻店人员排班管理等内容。</w:t>
      </w:r>
    </w:p>
    <w:p w14:paraId="0E53AB0F">
      <w:pPr>
        <w:pStyle w:val="4"/>
        <w:widowControl/>
        <w:spacing w:before="0" w:beforeAutospacing="0" w:after="0" w:afterAutospacing="0" w:line="560" w:lineRule="exact"/>
        <w:ind w:left="0" w:right="0" w:firstLine="643" w:firstLineChars="200"/>
        <w:jc w:val="both"/>
        <w:rPr>
          <w:rFonts w:hint="default" w:ascii="Times New Roman" w:hAnsi="Times New Roman" w:eastAsia="楷体_GB2312" w:cs="Times New Roman"/>
          <w:color w:val="000000" w:themeColor="text1"/>
          <w:sz w:val="32"/>
          <w:szCs w:val="32"/>
          <w:shd w:val="clear" w:fill="FFFFFF"/>
          <w:lang w:val="en-US"/>
          <w14:textFill>
            <w14:solidFill>
              <w14:schemeClr w14:val="tx1"/>
            </w14:solidFill>
          </w14:textFill>
        </w:rPr>
      </w:pPr>
      <w:r>
        <w:rPr>
          <w:rFonts w:hint="default" w:ascii="Times New Roman" w:hAnsi="Times New Roman" w:eastAsia="楷体_GB2312" w:cs="Times New Roman"/>
          <w:color w:val="000000" w:themeColor="text1"/>
          <w:sz w:val="32"/>
          <w:szCs w:val="32"/>
          <w:lang w:eastAsia="zh-CN"/>
          <w14:textFill>
            <w14:solidFill>
              <w14:schemeClr w14:val="tx1"/>
            </w14:solidFill>
          </w14:textFill>
        </w:rPr>
        <w:t>（二）统一评分与中选单位确定</w:t>
      </w:r>
    </w:p>
    <w:p w14:paraId="75555B1F">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资料审核</w:t>
      </w:r>
    </w:p>
    <w:p w14:paraId="772C9857">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color w:val="000000" w:themeColor="text1"/>
          <w:sz w:val="32"/>
          <w:szCs w:val="32"/>
          <w:shd w:val="clear" w:fill="FFFFFF"/>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fill="FFFFFF"/>
          <w:lang w:eastAsia="zh-CN"/>
          <w14:textFill>
            <w14:solidFill>
              <w14:schemeClr w14:val="tx1"/>
            </w14:solidFill>
          </w14:textFill>
        </w:rPr>
        <w:t>报名窗口期结束后，客运站公司组建专项审核小组，对全部意向方申报材料开展完整性、真实性、有效性核查。剔除材料不全、提供虚假资料的意向单位，形成有效参评名单。</w:t>
      </w:r>
    </w:p>
    <w:p w14:paraId="0442F44F">
      <w:pPr>
        <w:pStyle w:val="4"/>
        <w:widowControl/>
        <w:spacing w:before="0" w:beforeAutospacing="0" w:after="0" w:afterAutospacing="0" w:line="560" w:lineRule="exact"/>
        <w:ind w:left="0" w:right="0" w:firstLine="640" w:firstLineChars="200"/>
        <w:jc w:val="left"/>
        <w:rPr>
          <w:rFonts w:hint="default" w:ascii="Times New Roman" w:hAnsi="Times New Roman" w:eastAsia="仿宋_GB2312" w:cs="Times New Roman"/>
          <w:b w:val="0"/>
          <w:bCs w:val="0"/>
          <w:color w:val="000000" w:themeColor="text1"/>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fill="FFFFFF"/>
          <w:lang w:val="en-US"/>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商务技术综合评分</w:t>
      </w:r>
    </w:p>
    <w:tbl>
      <w:tblPr>
        <w:tblStyle w:val="10"/>
        <w:tblW w:w="5303" w:type="pct"/>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34"/>
        <w:gridCol w:w="1052"/>
        <w:gridCol w:w="7006"/>
      </w:tblGrid>
      <w:tr w14:paraId="4F8E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10" w:type="pct"/>
            <w:tcBorders>
              <w:top w:val="single" w:color="auto" w:sz="4" w:space="0"/>
              <w:left w:val="single" w:color="auto" w:sz="4" w:space="0"/>
              <w:bottom w:val="single" w:color="auto" w:sz="4" w:space="0"/>
              <w:right w:val="single" w:color="auto" w:sz="4" w:space="0"/>
            </w:tcBorders>
            <w:shd w:val="clear" w:color="auto" w:fill="auto"/>
            <w:tcMar>
              <w:top w:w="147" w:type="dxa"/>
              <w:left w:w="0" w:type="dxa"/>
              <w:bottom w:w="147" w:type="dxa"/>
              <w:right w:w="240" w:type="dxa"/>
            </w:tcMar>
            <w:vAlign w:val="center"/>
          </w:tcPr>
          <w:p w14:paraId="47C081BE">
            <w:pPr>
              <w:pStyle w:val="4"/>
              <w:keepNext w:val="0"/>
              <w:keepLines w:val="0"/>
              <w:widowControl w:val="0"/>
              <w:shd w:val="clear" w:fill="FFFFFF"/>
              <w:spacing w:beforeAutospacing="0" w:afterAutospacing="0" w:line="320" w:lineRule="exact"/>
              <w:ind w:firstLine="0" w:firstLineChars="0"/>
              <w:jc w:val="center"/>
              <w:rPr>
                <w:rFonts w:hint="eastAsia" w:ascii="宋体" w:hAnsi="宋体" w:eastAsia="宋体" w:cs="宋体"/>
                <w:b w:val="0"/>
                <w:bCs w:val="0"/>
                <w:sz w:val="24"/>
                <w:szCs w:val="24"/>
                <w:shd w:val="clear" w:fill="FFFFFF"/>
                <w:lang w:val="en-US" w:eastAsia="zh-CN" w:bidi="ar"/>
              </w:rPr>
            </w:pPr>
            <w:r>
              <w:rPr>
                <w:rFonts w:hint="eastAsia" w:cs="宋体"/>
                <w:b w:val="0"/>
                <w:bCs w:val="0"/>
                <w:spacing w:val="0"/>
                <w:sz w:val="24"/>
                <w:szCs w:val="24"/>
                <w:shd w:val="clear" w:fill="FFFFFF"/>
                <w:lang w:val="en-US" w:eastAsia="zh-CN"/>
              </w:rPr>
              <w:t>评分维</w:t>
            </w:r>
            <w:r>
              <w:rPr>
                <w:rFonts w:hint="eastAsia" w:cs="宋体"/>
                <w:b w:val="0"/>
                <w:bCs w:val="0"/>
                <w:sz w:val="24"/>
                <w:szCs w:val="24"/>
                <w:shd w:val="clear" w:fill="FFFFFF"/>
                <w:lang w:val="en-US" w:eastAsia="zh-CN"/>
              </w:rPr>
              <w:t>度</w:t>
            </w:r>
          </w:p>
        </w:tc>
        <w:tc>
          <w:tcPr>
            <w:tcW w:w="560" w:type="pct"/>
            <w:tcBorders>
              <w:top w:val="single" w:color="auto" w:sz="4" w:space="0"/>
              <w:left w:val="single" w:color="auto" w:sz="4" w:space="0"/>
              <w:bottom w:val="single" w:color="auto" w:sz="4" w:space="0"/>
              <w:right w:val="single" w:color="auto" w:sz="4" w:space="0"/>
            </w:tcBorders>
            <w:shd w:val="clear" w:color="auto" w:fill="auto"/>
            <w:tcMar>
              <w:top w:w="147" w:type="dxa"/>
              <w:left w:w="240" w:type="dxa"/>
              <w:bottom w:w="147" w:type="dxa"/>
              <w:right w:w="240" w:type="dxa"/>
            </w:tcMar>
            <w:vAlign w:val="center"/>
          </w:tcPr>
          <w:p w14:paraId="4CB5E063">
            <w:pPr>
              <w:pStyle w:val="4"/>
              <w:shd w:val="clear" w:fill="FFFFFF"/>
              <w:spacing w:beforeAutospacing="0" w:afterAutospacing="0" w:line="320" w:lineRule="exact"/>
              <w:jc w:val="center"/>
              <w:rPr>
                <w:rFonts w:hint="eastAsia" w:ascii="宋体" w:hAnsi="宋体" w:eastAsia="宋体" w:cs="宋体"/>
                <w:b w:val="0"/>
                <w:bCs w:val="0"/>
                <w:sz w:val="24"/>
                <w:szCs w:val="24"/>
                <w:shd w:val="clear" w:fill="FFFFFF"/>
                <w:lang w:val="en-US" w:eastAsia="zh-CN"/>
              </w:rPr>
            </w:pPr>
            <w:r>
              <w:rPr>
                <w:rFonts w:hint="eastAsia" w:ascii="宋体" w:hAnsi="宋体" w:eastAsia="宋体" w:cs="宋体"/>
                <w:b w:val="0"/>
                <w:bCs w:val="0"/>
                <w:spacing w:val="0"/>
                <w:kern w:val="0"/>
                <w:sz w:val="24"/>
                <w:szCs w:val="24"/>
                <w:shd w:val="clear" w:fill="FFFFFF"/>
                <w:lang w:val="en-US" w:eastAsia="zh-CN" w:bidi="ar"/>
              </w:rPr>
              <w:t>分</w:t>
            </w:r>
            <w:r>
              <w:rPr>
                <w:rFonts w:hint="eastAsia" w:ascii="宋体" w:hAnsi="宋体" w:eastAsia="宋体" w:cs="宋体"/>
                <w:b w:val="0"/>
                <w:bCs w:val="0"/>
                <w:kern w:val="0"/>
                <w:sz w:val="24"/>
                <w:szCs w:val="24"/>
                <w:shd w:val="clear" w:fill="FFFFFF"/>
                <w:lang w:val="en-US" w:eastAsia="zh-CN" w:bidi="ar"/>
              </w:rPr>
              <w:t>值</w:t>
            </w:r>
          </w:p>
        </w:tc>
        <w:tc>
          <w:tcPr>
            <w:tcW w:w="3728" w:type="pct"/>
            <w:tcBorders>
              <w:top w:val="single" w:color="auto" w:sz="4" w:space="0"/>
              <w:left w:val="single" w:color="auto" w:sz="4" w:space="0"/>
              <w:bottom w:val="single" w:color="auto" w:sz="4" w:space="0"/>
              <w:right w:val="single" w:color="auto" w:sz="4" w:space="0"/>
            </w:tcBorders>
            <w:shd w:val="clear" w:color="auto" w:fill="auto"/>
            <w:tcMar>
              <w:top w:w="147" w:type="dxa"/>
              <w:left w:w="240" w:type="dxa"/>
              <w:bottom w:w="147" w:type="dxa"/>
              <w:right w:w="0" w:type="dxa"/>
            </w:tcMar>
            <w:vAlign w:val="center"/>
          </w:tcPr>
          <w:p w14:paraId="54379B54">
            <w:pPr>
              <w:keepNext w:val="0"/>
              <w:keepLines w:val="0"/>
              <w:widowControl w:val="0"/>
              <w:suppressLineNumbers w:val="0"/>
              <w:spacing w:before="0" w:beforeAutospacing="0" w:after="0" w:afterAutospacing="0" w:line="320" w:lineRule="exact"/>
              <w:ind w:left="0" w:right="0" w:firstLine="480" w:firstLineChars="200"/>
              <w:jc w:val="center"/>
              <w:rPr>
                <w:rFonts w:hint="eastAsia" w:ascii="宋体" w:hAnsi="宋体" w:eastAsia="宋体" w:cs="宋体"/>
                <w:b w:val="0"/>
                <w:bCs w:val="0"/>
                <w:color w:val="0F1115"/>
                <w:sz w:val="24"/>
                <w:szCs w:val="24"/>
                <w:shd w:val="clear" w:fill="FFFFFF"/>
                <w:lang w:val="en-US" w:eastAsia="zh-CN"/>
              </w:rPr>
            </w:pPr>
            <w:r>
              <w:rPr>
                <w:rFonts w:hint="eastAsia" w:ascii="宋体" w:hAnsi="宋体" w:eastAsia="宋体" w:cs="宋体"/>
                <w:b w:val="0"/>
                <w:bCs w:val="0"/>
                <w:color w:val="0F1115"/>
                <w:spacing w:val="0"/>
                <w:sz w:val="24"/>
                <w:szCs w:val="24"/>
                <w:shd w:val="clear" w:fill="FFFFFF"/>
                <w:lang w:val="en-US" w:eastAsia="zh-CN"/>
              </w:rPr>
              <w:t>评分细</w:t>
            </w:r>
            <w:r>
              <w:rPr>
                <w:rFonts w:hint="eastAsia" w:ascii="宋体" w:hAnsi="宋体" w:eastAsia="宋体" w:cs="宋体"/>
                <w:b w:val="0"/>
                <w:bCs w:val="0"/>
                <w:color w:val="0F1115"/>
                <w:sz w:val="24"/>
                <w:szCs w:val="24"/>
                <w:shd w:val="clear" w:fill="FFFFFF"/>
                <w:lang w:val="en-US" w:eastAsia="zh-CN"/>
              </w:rPr>
              <w:t>则</w:t>
            </w:r>
          </w:p>
        </w:tc>
      </w:tr>
      <w:tr w14:paraId="127E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710" w:type="pct"/>
            <w:tcBorders>
              <w:top w:val="single" w:color="auto" w:sz="4" w:space="0"/>
              <w:left w:val="single" w:color="auto" w:sz="4" w:space="0"/>
              <w:bottom w:val="single" w:color="auto" w:sz="4" w:space="0"/>
              <w:right w:val="single" w:color="auto" w:sz="4" w:space="0"/>
            </w:tcBorders>
            <w:shd w:val="clear" w:color="auto" w:fill="auto"/>
            <w:tcMar>
              <w:top w:w="147" w:type="dxa"/>
              <w:left w:w="0" w:type="dxa"/>
              <w:bottom w:w="147" w:type="dxa"/>
              <w:right w:w="240" w:type="dxa"/>
            </w:tcMar>
            <w:vAlign w:val="center"/>
          </w:tcPr>
          <w:p w14:paraId="2863AA24">
            <w:pPr>
              <w:pStyle w:val="4"/>
              <w:keepNext w:val="0"/>
              <w:keepLines w:val="0"/>
              <w:widowControl w:val="0"/>
              <w:shd w:val="clear" w:fill="FFFFFF"/>
              <w:spacing w:beforeAutospacing="0" w:afterAutospacing="0" w:line="320" w:lineRule="exact"/>
              <w:ind w:firstLine="0" w:firstLineChars="0"/>
              <w:jc w:val="center"/>
              <w:rPr>
                <w:rFonts w:hint="default" w:cs="宋体"/>
                <w:b w:val="0"/>
                <w:bCs w:val="0"/>
                <w:spacing w:val="0"/>
                <w:sz w:val="24"/>
                <w:szCs w:val="24"/>
                <w:shd w:val="clear" w:fill="FFFFFF"/>
                <w:lang w:val="en-US" w:eastAsia="zh-CN"/>
              </w:rPr>
            </w:pPr>
            <w:r>
              <w:rPr>
                <w:rFonts w:hint="eastAsia" w:cs="宋体"/>
                <w:b w:val="0"/>
                <w:bCs w:val="0"/>
                <w:spacing w:val="0"/>
                <w:sz w:val="24"/>
                <w:szCs w:val="24"/>
                <w:shd w:val="clear" w:fill="FFFFFF"/>
                <w:lang w:val="en-US" w:eastAsia="zh-CN"/>
              </w:rPr>
              <w:t>营收分成比例</w:t>
            </w:r>
          </w:p>
        </w:tc>
        <w:tc>
          <w:tcPr>
            <w:tcW w:w="560" w:type="pct"/>
            <w:tcBorders>
              <w:top w:val="single" w:color="auto" w:sz="4" w:space="0"/>
              <w:left w:val="single" w:color="auto" w:sz="4" w:space="0"/>
              <w:bottom w:val="single" w:color="auto" w:sz="4" w:space="0"/>
              <w:right w:val="single" w:color="auto" w:sz="4" w:space="0"/>
            </w:tcBorders>
            <w:shd w:val="clear" w:color="auto" w:fill="auto"/>
            <w:tcMar>
              <w:top w:w="147" w:type="dxa"/>
              <w:left w:w="240" w:type="dxa"/>
              <w:bottom w:w="147" w:type="dxa"/>
              <w:right w:w="240" w:type="dxa"/>
            </w:tcMar>
            <w:vAlign w:val="center"/>
          </w:tcPr>
          <w:p w14:paraId="7E1F2C77">
            <w:pPr>
              <w:pStyle w:val="4"/>
              <w:shd w:val="clear" w:fill="FFFFFF"/>
              <w:spacing w:beforeAutospacing="0" w:afterAutospacing="0" w:line="320" w:lineRule="exact"/>
              <w:jc w:val="center"/>
              <w:rPr>
                <w:rFonts w:hint="default" w:ascii="宋体" w:hAnsi="宋体" w:eastAsia="宋体" w:cs="宋体"/>
                <w:b w:val="0"/>
                <w:bCs w:val="0"/>
                <w:spacing w:val="0"/>
                <w:kern w:val="0"/>
                <w:sz w:val="24"/>
                <w:szCs w:val="24"/>
                <w:shd w:val="clear" w:fill="FFFFFF"/>
                <w:lang w:val="en-US" w:eastAsia="zh-CN" w:bidi="ar"/>
              </w:rPr>
            </w:pPr>
            <w:r>
              <w:rPr>
                <w:rFonts w:hint="eastAsia" w:cs="宋体"/>
                <w:b w:val="0"/>
                <w:bCs w:val="0"/>
                <w:spacing w:val="0"/>
                <w:kern w:val="0"/>
                <w:sz w:val="24"/>
                <w:szCs w:val="24"/>
                <w:shd w:val="clear" w:fill="FFFFFF"/>
                <w:lang w:val="en-US" w:eastAsia="zh-CN" w:bidi="ar"/>
              </w:rPr>
              <w:t>25分</w:t>
            </w:r>
          </w:p>
        </w:tc>
        <w:tc>
          <w:tcPr>
            <w:tcW w:w="3728" w:type="pct"/>
            <w:tcBorders>
              <w:top w:val="single" w:color="auto" w:sz="4" w:space="0"/>
              <w:left w:val="single" w:color="auto" w:sz="4" w:space="0"/>
              <w:bottom w:val="single" w:color="auto" w:sz="4" w:space="0"/>
              <w:right w:val="single" w:color="auto" w:sz="4" w:space="0"/>
            </w:tcBorders>
            <w:shd w:val="clear" w:color="auto" w:fill="auto"/>
            <w:tcMar>
              <w:top w:w="147" w:type="dxa"/>
              <w:left w:w="240" w:type="dxa"/>
              <w:bottom w:w="147" w:type="dxa"/>
              <w:right w:w="0" w:type="dxa"/>
            </w:tcMar>
            <w:vAlign w:val="center"/>
          </w:tcPr>
          <w:p w14:paraId="090D8A32">
            <w:pPr>
              <w:keepNext/>
              <w:keepLines/>
              <w:widowControl/>
              <w:suppressLineNumbers w:val="0"/>
              <w:shd w:val="clear" w:fill="FFFFFF"/>
              <w:spacing w:before="0" w:beforeAutospacing="0" w:after="0" w:afterAutospacing="0" w:line="320" w:lineRule="exact"/>
              <w:ind w:left="0" w:right="0" w:firstLine="0" w:firstLineChars="0"/>
              <w:jc w:val="both"/>
              <w:rPr>
                <w:rFonts w:hint="default" w:ascii="Times New Roman" w:hAnsi="Times New Roman" w:eastAsia="宋体" w:cs="Times New Roman"/>
                <w:b w:val="0"/>
                <w:bCs w:val="0"/>
                <w:color w:val="0F1115"/>
                <w:sz w:val="24"/>
                <w:szCs w:val="24"/>
                <w:shd w:val="clear" w:fill="FFFFFF"/>
              </w:rPr>
            </w:pPr>
            <w:r>
              <w:rPr>
                <w:rFonts w:hint="default" w:ascii="Times New Roman" w:hAnsi="Times New Roman" w:eastAsia="宋体" w:cs="Times New Roman"/>
                <w:b w:val="0"/>
                <w:bCs w:val="0"/>
                <w:color w:val="0F1115"/>
                <w:sz w:val="24"/>
                <w:szCs w:val="24"/>
                <w:shd w:val="clear" w:fill="FFFFFF"/>
                <w:lang w:val="en-US" w:eastAsia="zh-CN"/>
              </w:rPr>
              <w:t>一、</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rPr>
              <w:t>&lt;</w:t>
            </w:r>
            <w:r>
              <w:rPr>
                <w:rFonts w:hint="default" w:ascii="Times New Roman" w:hAnsi="Times New Roman" w:eastAsia="宋体" w:cs="Times New Roman"/>
                <w:b w:val="0"/>
                <w:bCs w:val="0"/>
                <w:color w:val="0F1115"/>
                <w:sz w:val="24"/>
                <w:szCs w:val="24"/>
                <w:shd w:val="clear" w:fill="FFFFFF"/>
                <w:lang w:val="en-US" w:eastAsia="zh-CN"/>
              </w:rPr>
              <w:t>8</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rPr>
              <w:t>，取消合作资格；</w:t>
            </w:r>
          </w:p>
          <w:p w14:paraId="37F051DB">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二、</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lang w:val="en-US" w:eastAsia="zh-CN"/>
              </w:rPr>
              <w:t>8</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lang w:val="en-US" w:eastAsia="zh-CN"/>
              </w:rPr>
              <w:t>时</w:t>
            </w:r>
            <w:r>
              <w:rPr>
                <w:rFonts w:hint="default" w:ascii="Times New Roman" w:hAnsi="Times New Roman" w:eastAsia="宋体" w:cs="Times New Roman"/>
                <w:b w:val="0"/>
                <w:bCs w:val="0"/>
                <w:color w:val="0F1115"/>
                <w:sz w:val="24"/>
                <w:szCs w:val="24"/>
                <w:shd w:val="clear" w:fill="FFFFFF"/>
              </w:rPr>
              <w:t>，</w:t>
            </w:r>
            <w:r>
              <w:rPr>
                <w:rFonts w:hint="default" w:ascii="Times New Roman" w:hAnsi="Times New Roman" w:eastAsia="宋体" w:cs="Times New Roman"/>
                <w:b w:val="0"/>
                <w:bCs w:val="0"/>
                <w:color w:val="0F1115"/>
                <w:sz w:val="24"/>
                <w:szCs w:val="24"/>
                <w:shd w:val="clear" w:fill="FFFFFF"/>
                <w:lang w:val="en-US" w:eastAsia="zh-CN"/>
              </w:rPr>
              <w:t>具体评分标准如下：</w:t>
            </w:r>
          </w:p>
          <w:p w14:paraId="19EAB6FF">
            <w:pPr>
              <w:keepNext/>
              <w:keepLines/>
              <w:widowControl/>
              <w:suppressLineNumbers w:val="0"/>
              <w:shd w:val="clear" w:fill="FFFFFF"/>
              <w:spacing w:before="0" w:beforeAutospacing="0" w:after="0" w:afterAutospacing="0" w:line="320" w:lineRule="exact"/>
              <w:ind w:left="0" w:right="0" w:firstLine="0" w:firstLineChars="0"/>
              <w:jc w:val="both"/>
              <w:rPr>
                <w:rFonts w:hint="default" w:ascii="Times New Roman" w:hAnsi="Times New Roman" w:eastAsia="宋体" w:cs="Times New Roman"/>
                <w:b w:val="0"/>
                <w:bCs w:val="0"/>
                <w:color w:val="0F1115"/>
                <w:sz w:val="24"/>
                <w:szCs w:val="24"/>
                <w:shd w:val="clear" w:fill="FFFFFF"/>
              </w:rPr>
            </w:pP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一</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eastAsia="zh-CN"/>
              </w:rPr>
              <w:t>=8</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rPr>
              <w:t>，</w:t>
            </w:r>
            <w:r>
              <w:rPr>
                <w:rFonts w:hint="default" w:ascii="Times New Roman" w:hAnsi="Times New Roman" w:eastAsia="宋体" w:cs="Times New Roman"/>
                <w:b w:val="0"/>
                <w:bCs w:val="0"/>
                <w:color w:val="0F1115"/>
                <w:sz w:val="24"/>
                <w:szCs w:val="24"/>
                <w:shd w:val="clear" w:fill="FFFFFF"/>
                <w:lang w:val="en-US" w:eastAsia="zh-CN"/>
              </w:rPr>
              <w:t>得</w:t>
            </w:r>
            <w:r>
              <w:rPr>
                <w:rFonts w:hint="default" w:ascii="Times New Roman" w:hAnsi="Times New Roman" w:eastAsia="宋体" w:cs="Times New Roman"/>
                <w:b w:val="0"/>
                <w:bCs w:val="0"/>
                <w:color w:val="0F1115"/>
                <w:sz w:val="24"/>
                <w:szCs w:val="24"/>
                <w:shd w:val="clear" w:fill="FFFFFF"/>
                <w:lang w:val="en-US"/>
              </w:rPr>
              <w:t>0</w:t>
            </w:r>
            <w:r>
              <w:rPr>
                <w:rFonts w:hint="default" w:ascii="Times New Roman" w:hAnsi="Times New Roman" w:eastAsia="宋体" w:cs="Times New Roman"/>
                <w:b w:val="0"/>
                <w:bCs w:val="0"/>
                <w:color w:val="0F1115"/>
                <w:sz w:val="24"/>
                <w:szCs w:val="24"/>
                <w:shd w:val="clear" w:fill="FFFFFF"/>
              </w:rPr>
              <w:t>分；</w:t>
            </w:r>
          </w:p>
          <w:p w14:paraId="2C885AB9">
            <w:pPr>
              <w:keepNext/>
              <w:keepLines/>
              <w:widowControl/>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二</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eastAsia="zh-CN"/>
              </w:rPr>
              <w:t>=8.5</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rPr>
              <w:t>，</w:t>
            </w:r>
            <w:r>
              <w:rPr>
                <w:rFonts w:hint="default" w:ascii="Times New Roman" w:hAnsi="Times New Roman" w:eastAsia="宋体" w:cs="Times New Roman"/>
                <w:b w:val="0"/>
                <w:bCs w:val="0"/>
                <w:color w:val="0F1115"/>
                <w:sz w:val="24"/>
                <w:szCs w:val="24"/>
                <w:shd w:val="clear" w:fill="FFFFFF"/>
                <w:lang w:val="en-US" w:eastAsia="zh-CN"/>
              </w:rPr>
              <w:t>得10</w:t>
            </w:r>
            <w:r>
              <w:rPr>
                <w:rFonts w:hint="default" w:ascii="Times New Roman" w:hAnsi="Times New Roman" w:eastAsia="宋体" w:cs="Times New Roman"/>
                <w:b w:val="0"/>
                <w:bCs w:val="0"/>
                <w:color w:val="0F1115"/>
                <w:sz w:val="24"/>
                <w:szCs w:val="24"/>
                <w:shd w:val="clear" w:fill="FFFFFF"/>
              </w:rPr>
              <w:t>分</w:t>
            </w:r>
            <w:r>
              <w:rPr>
                <w:rFonts w:hint="default" w:ascii="Times New Roman" w:hAnsi="Times New Roman" w:eastAsia="宋体" w:cs="Times New Roman"/>
                <w:b w:val="0"/>
                <w:bCs w:val="0"/>
                <w:color w:val="0F1115"/>
                <w:sz w:val="24"/>
                <w:szCs w:val="24"/>
                <w:shd w:val="clear" w:fill="FFFFFF"/>
                <w:lang w:val="en-US" w:eastAsia="zh-CN"/>
              </w:rPr>
              <w:t>；</w:t>
            </w:r>
          </w:p>
          <w:p w14:paraId="36BFFC20">
            <w:pPr>
              <w:keepNext/>
              <w:keepLines/>
              <w:widowControl/>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三</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eastAsia="zh-CN"/>
              </w:rPr>
              <w:t>=9</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lang w:val="en-US" w:eastAsia="zh-CN"/>
              </w:rPr>
              <w:t>，得15分；</w:t>
            </w:r>
          </w:p>
          <w:p w14:paraId="3F753081">
            <w:pPr>
              <w:keepNext/>
              <w:keepLines/>
              <w:widowControl/>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四</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eastAsia="zh-CN"/>
              </w:rPr>
              <w:t>=9.5</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lang w:val="en-US" w:eastAsia="zh-CN"/>
              </w:rPr>
              <w:t>，得20分；</w:t>
            </w:r>
          </w:p>
          <w:p w14:paraId="5E676E7D">
            <w:pPr>
              <w:keepNext w:val="0"/>
              <w:keepLines w:val="0"/>
              <w:widowControl w:val="0"/>
              <w:suppressLineNumbers w:val="0"/>
              <w:spacing w:before="0" w:beforeAutospacing="0" w:after="0" w:afterAutospacing="0" w:line="320" w:lineRule="exact"/>
              <w:ind w:left="0" w:right="0" w:firstLine="0" w:firstLineChars="0"/>
              <w:jc w:val="both"/>
              <w:rPr>
                <w:rFonts w:hint="eastAsia" w:ascii="宋体" w:hAnsi="宋体" w:eastAsia="宋体" w:cs="宋体"/>
                <w:b w:val="0"/>
                <w:bCs w:val="0"/>
                <w:color w:val="0F1115"/>
                <w:spacing w:val="0"/>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五</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rPr>
              <w:t>承诺分成比例</w:t>
            </w:r>
            <w:r>
              <w:rPr>
                <w:rFonts w:hint="default" w:ascii="Times New Roman" w:hAnsi="Times New Roman" w:eastAsia="宋体" w:cs="Times New Roman"/>
                <w:b w:val="0"/>
                <w:bCs w:val="0"/>
                <w:color w:val="0F1115"/>
                <w:sz w:val="24"/>
                <w:szCs w:val="24"/>
                <w:shd w:val="clear" w:fill="FFFFFF"/>
                <w:lang w:val="en-US" w:eastAsia="zh-CN"/>
              </w:rPr>
              <w:t>=10</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lang w:val="en-US" w:eastAsia="zh-CN"/>
              </w:rPr>
              <w:t>及以上，得25分。</w:t>
            </w:r>
          </w:p>
        </w:tc>
      </w:tr>
      <w:tr w14:paraId="39A8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5" w:hRule="atLeast"/>
        </w:trPr>
        <w:tc>
          <w:tcPr>
            <w:tcW w:w="710" w:type="pc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EB79E9F">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sz w:val="24"/>
                <w:szCs w:val="24"/>
                <w:shd w:val="clear" w:fill="FFFFFF"/>
                <w:lang w:bidi="ar"/>
              </w:rPr>
              <w:t>品牌实力与经营业绩</w:t>
            </w:r>
          </w:p>
        </w:tc>
        <w:tc>
          <w:tcPr>
            <w:tcW w:w="560"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81A464B">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sz w:val="24"/>
                <w:szCs w:val="24"/>
                <w:shd w:val="clear" w:fill="FFFFFF"/>
                <w:lang w:val="en-US" w:eastAsia="zh-CN" w:bidi="ar"/>
              </w:rPr>
              <w:t>2</w:t>
            </w:r>
            <w:r>
              <w:rPr>
                <w:rFonts w:hint="default" w:ascii="Times New Roman" w:hAnsi="Times New Roman" w:eastAsia="宋体" w:cs="Times New Roman"/>
                <w:b w:val="0"/>
                <w:bCs w:val="0"/>
                <w:sz w:val="24"/>
                <w:szCs w:val="24"/>
                <w:shd w:val="clear" w:fill="FFFFFF"/>
                <w:lang w:val="en-US" w:bidi="ar"/>
              </w:rPr>
              <w:t>0</w:t>
            </w:r>
            <w:r>
              <w:rPr>
                <w:rFonts w:hint="default" w:ascii="Times New Roman" w:hAnsi="Times New Roman" w:eastAsia="宋体" w:cs="Times New Roman"/>
                <w:b w:val="0"/>
                <w:bCs w:val="0"/>
                <w:sz w:val="24"/>
                <w:szCs w:val="24"/>
                <w:shd w:val="clear" w:fill="FFFFFF"/>
                <w:lang w:bidi="ar"/>
              </w:rPr>
              <w:t>分</w:t>
            </w:r>
          </w:p>
        </w:tc>
        <w:tc>
          <w:tcPr>
            <w:tcW w:w="3728"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F5A468C">
            <w:pPr>
              <w:pStyle w:val="4"/>
              <w:widowControl/>
              <w:shd w:val="clear" w:fill="FFFFFF"/>
              <w:spacing w:before="0" w:beforeAutospacing="0" w:after="0" w:afterAutospacing="0" w:line="320" w:lineRule="exact"/>
              <w:ind w:left="0" w:right="0" w:firstLine="0" w:firstLineChars="0"/>
              <w:jc w:val="left"/>
              <w:rPr>
                <w:rFonts w:hint="default" w:ascii="Times New Roman" w:hAnsi="Times New Roman" w:eastAsia="宋体" w:cs="Times New Roman"/>
                <w:b w:val="0"/>
                <w:bCs w:val="0"/>
                <w:color w:val="0F1115"/>
                <w:sz w:val="24"/>
                <w:szCs w:val="24"/>
                <w:shd w:val="clear" w:fill="FFFFFF"/>
              </w:rPr>
            </w:pPr>
            <w:r>
              <w:rPr>
                <w:rFonts w:hint="default" w:ascii="Times New Roman" w:hAnsi="Times New Roman" w:eastAsia="宋体" w:cs="Times New Roman"/>
                <w:b w:val="0"/>
                <w:bCs w:val="0"/>
                <w:color w:val="0F1115"/>
                <w:sz w:val="24"/>
                <w:szCs w:val="24"/>
                <w:shd w:val="clear" w:fill="FFFFFF"/>
                <w:lang w:val="en-US" w:eastAsia="zh-CN"/>
              </w:rPr>
              <w:t>一、按照合作方</w:t>
            </w:r>
            <w:r>
              <w:rPr>
                <w:rFonts w:hint="default" w:ascii="Times New Roman" w:hAnsi="Times New Roman" w:eastAsia="宋体" w:cs="Times New Roman"/>
                <w:b w:val="0"/>
                <w:bCs w:val="0"/>
                <w:color w:val="0F1115"/>
                <w:sz w:val="24"/>
                <w:szCs w:val="24"/>
                <w:shd w:val="clear" w:fill="FFFFFF"/>
              </w:rPr>
              <w:t>所经营的品牌，正在经营的标准门店（流动摊档除外）数量计分：</w:t>
            </w:r>
          </w:p>
          <w:p w14:paraId="3F01668B">
            <w:pPr>
              <w:pStyle w:val="4"/>
              <w:widowControl/>
              <w:shd w:val="clear" w:fill="FFFFFF"/>
              <w:spacing w:before="0" w:beforeAutospacing="0" w:after="0" w:afterAutospacing="0" w:line="320" w:lineRule="exact"/>
              <w:ind w:left="0" w:right="0" w:firstLine="0" w:firstLineChars="0"/>
              <w:jc w:val="left"/>
              <w:rPr>
                <w:rFonts w:hint="default" w:ascii="Times New Roman" w:hAnsi="Times New Roman" w:eastAsia="宋体" w:cs="Times New Roman"/>
                <w:b w:val="0"/>
                <w:bCs w:val="0"/>
                <w:color w:val="0F1115"/>
                <w:sz w:val="24"/>
                <w:szCs w:val="24"/>
                <w:shd w:val="clear" w:fill="FFFFFF"/>
                <w:lang w:val="en-US"/>
              </w:rPr>
            </w:pPr>
            <w:r>
              <w:rPr>
                <w:rFonts w:hint="default" w:ascii="Times New Roman" w:hAnsi="Times New Roman" w:eastAsia="宋体" w:cs="Times New Roman"/>
                <w:b w:val="0"/>
                <w:bCs w:val="0"/>
                <w:color w:val="0F1115"/>
                <w:sz w:val="24"/>
                <w:szCs w:val="24"/>
                <w:shd w:val="clear" w:fill="FFFFFF"/>
                <w:lang w:val="en-US" w:eastAsia="zh-CN"/>
              </w:rPr>
              <w:t>（一）</w:t>
            </w:r>
            <w:r>
              <w:rPr>
                <w:rFonts w:hint="default" w:ascii="Times New Roman" w:hAnsi="Times New Roman" w:eastAsia="宋体" w:cs="Times New Roman"/>
                <w:b w:val="0"/>
                <w:bCs w:val="0"/>
                <w:color w:val="0F1115"/>
                <w:sz w:val="24"/>
                <w:szCs w:val="24"/>
                <w:shd w:val="clear" w:fill="FFFFFF"/>
                <w:lang w:val="en-US"/>
              </w:rPr>
              <w:t>1-</w:t>
            </w:r>
            <w:r>
              <w:rPr>
                <w:rFonts w:hint="default" w:ascii="Times New Roman" w:hAnsi="Times New Roman" w:eastAsia="宋体" w:cs="Times New Roman"/>
                <w:b w:val="0"/>
                <w:bCs w:val="0"/>
                <w:color w:val="0F1115"/>
                <w:sz w:val="24"/>
                <w:szCs w:val="24"/>
                <w:shd w:val="clear" w:fill="FFFFFF"/>
                <w:lang w:val="en-US" w:eastAsia="zh-CN"/>
              </w:rPr>
              <w:t>5</w:t>
            </w:r>
            <w:r>
              <w:rPr>
                <w:rFonts w:hint="default" w:ascii="Times New Roman" w:hAnsi="Times New Roman" w:eastAsia="宋体" w:cs="Times New Roman"/>
                <w:b w:val="0"/>
                <w:bCs w:val="0"/>
                <w:color w:val="0F1115"/>
                <w:sz w:val="24"/>
                <w:szCs w:val="24"/>
                <w:shd w:val="clear" w:fill="FFFFFF"/>
              </w:rPr>
              <w:t>家，得</w:t>
            </w:r>
            <w:r>
              <w:rPr>
                <w:rFonts w:hint="default" w:ascii="Times New Roman" w:hAnsi="Times New Roman" w:eastAsia="宋体" w:cs="Times New Roman"/>
                <w:b w:val="0"/>
                <w:bCs w:val="0"/>
                <w:color w:val="0F1115"/>
                <w:sz w:val="24"/>
                <w:szCs w:val="24"/>
                <w:shd w:val="clear" w:fill="FFFFFF"/>
                <w:lang w:val="en-US" w:eastAsia="zh-CN"/>
              </w:rPr>
              <w:t>10</w:t>
            </w:r>
            <w:r>
              <w:rPr>
                <w:rFonts w:hint="default" w:ascii="Times New Roman" w:hAnsi="Times New Roman" w:eastAsia="宋体" w:cs="Times New Roman"/>
                <w:b w:val="0"/>
                <w:bCs w:val="0"/>
                <w:color w:val="0F1115"/>
                <w:sz w:val="24"/>
                <w:szCs w:val="24"/>
                <w:shd w:val="clear" w:fill="FFFFFF"/>
              </w:rPr>
              <w:t>分；</w:t>
            </w:r>
          </w:p>
          <w:p w14:paraId="728DE32C">
            <w:pPr>
              <w:pStyle w:val="4"/>
              <w:widowControl/>
              <w:shd w:val="clear" w:fill="FFFFFF"/>
              <w:spacing w:before="0" w:beforeAutospacing="0" w:after="0" w:afterAutospacing="0" w:line="320" w:lineRule="exact"/>
              <w:ind w:left="0" w:right="0" w:firstLine="0" w:firstLineChars="0"/>
              <w:jc w:val="left"/>
              <w:rPr>
                <w:rFonts w:hint="default" w:ascii="Times New Roman" w:hAnsi="Times New Roman" w:eastAsia="宋体" w:cs="Times New Roman"/>
                <w:b w:val="0"/>
                <w:bCs w:val="0"/>
                <w:color w:val="0F1115"/>
                <w:sz w:val="24"/>
                <w:szCs w:val="24"/>
                <w:shd w:val="clear" w:fill="FFFFFF"/>
                <w:lang w:val="en-US"/>
              </w:rPr>
            </w:pPr>
            <w:r>
              <w:rPr>
                <w:rFonts w:hint="default" w:ascii="Times New Roman" w:hAnsi="Times New Roman" w:eastAsia="宋体" w:cs="Times New Roman"/>
                <w:b w:val="0"/>
                <w:bCs w:val="0"/>
                <w:color w:val="0F1115"/>
                <w:sz w:val="24"/>
                <w:szCs w:val="24"/>
                <w:shd w:val="clear" w:fill="FFFFFF"/>
                <w:lang w:val="en-US" w:eastAsia="zh-CN"/>
              </w:rPr>
              <w:t>（二）6</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lang w:val="en-US" w:eastAsia="zh-CN"/>
              </w:rPr>
              <w:t>9</w:t>
            </w:r>
            <w:r>
              <w:rPr>
                <w:rFonts w:hint="default" w:ascii="Times New Roman" w:hAnsi="Times New Roman" w:eastAsia="宋体" w:cs="Times New Roman"/>
                <w:b w:val="0"/>
                <w:bCs w:val="0"/>
                <w:color w:val="0F1115"/>
                <w:sz w:val="24"/>
                <w:szCs w:val="24"/>
                <w:shd w:val="clear" w:fill="FFFFFF"/>
              </w:rPr>
              <w:t>家，得</w:t>
            </w:r>
            <w:r>
              <w:rPr>
                <w:rFonts w:hint="default" w:ascii="Times New Roman" w:hAnsi="Times New Roman" w:eastAsia="宋体" w:cs="Times New Roman"/>
                <w:b w:val="0"/>
                <w:bCs w:val="0"/>
                <w:color w:val="0F1115"/>
                <w:sz w:val="24"/>
                <w:szCs w:val="24"/>
                <w:shd w:val="clear" w:fill="FFFFFF"/>
                <w:lang w:val="en-US"/>
              </w:rPr>
              <w:t>1</w:t>
            </w:r>
            <w:r>
              <w:rPr>
                <w:rFonts w:hint="default" w:ascii="Times New Roman" w:hAnsi="Times New Roman" w:eastAsia="宋体" w:cs="Times New Roman"/>
                <w:b w:val="0"/>
                <w:bCs w:val="0"/>
                <w:color w:val="0F1115"/>
                <w:sz w:val="24"/>
                <w:szCs w:val="24"/>
                <w:shd w:val="clear" w:fill="FFFFFF"/>
                <w:lang w:val="en-US" w:eastAsia="zh-CN"/>
              </w:rPr>
              <w:t>5</w:t>
            </w:r>
            <w:r>
              <w:rPr>
                <w:rFonts w:hint="default" w:ascii="Times New Roman" w:hAnsi="Times New Roman" w:eastAsia="宋体" w:cs="Times New Roman"/>
                <w:b w:val="0"/>
                <w:bCs w:val="0"/>
                <w:color w:val="0F1115"/>
                <w:sz w:val="24"/>
                <w:szCs w:val="24"/>
                <w:shd w:val="clear" w:fill="FFFFFF"/>
              </w:rPr>
              <w:t>分；</w:t>
            </w:r>
          </w:p>
          <w:p w14:paraId="2A12E8AB">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rPr>
            </w:pP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三</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rPr>
              <w:t>1</w:t>
            </w:r>
            <w:r>
              <w:rPr>
                <w:rFonts w:hint="default" w:ascii="Times New Roman" w:hAnsi="Times New Roman" w:eastAsia="宋体" w:cs="Times New Roman"/>
                <w:b w:val="0"/>
                <w:bCs w:val="0"/>
                <w:color w:val="0F1115"/>
                <w:sz w:val="24"/>
                <w:szCs w:val="24"/>
                <w:shd w:val="clear" w:fill="FFFFFF"/>
                <w:lang w:val="en-US" w:eastAsia="zh-CN"/>
              </w:rPr>
              <w:t>0</w:t>
            </w:r>
            <w:r>
              <w:rPr>
                <w:rFonts w:hint="default" w:ascii="Times New Roman" w:hAnsi="Times New Roman" w:eastAsia="宋体" w:cs="Times New Roman"/>
                <w:b w:val="0"/>
                <w:bCs w:val="0"/>
                <w:color w:val="0F1115"/>
                <w:sz w:val="24"/>
                <w:szCs w:val="24"/>
                <w:shd w:val="clear" w:fill="FFFFFF"/>
              </w:rPr>
              <w:t>家</w:t>
            </w:r>
            <w:r>
              <w:rPr>
                <w:rFonts w:hint="default" w:ascii="Times New Roman" w:hAnsi="Times New Roman" w:eastAsia="宋体" w:cs="Times New Roman"/>
                <w:b w:val="0"/>
                <w:bCs w:val="0"/>
                <w:color w:val="0F1115"/>
                <w:sz w:val="24"/>
                <w:szCs w:val="24"/>
                <w:shd w:val="clear" w:fill="FFFFFF"/>
                <w:lang w:val="en-US" w:eastAsia="zh-CN"/>
              </w:rPr>
              <w:t>及以上</w:t>
            </w:r>
            <w:r>
              <w:rPr>
                <w:rFonts w:hint="default" w:ascii="Times New Roman" w:hAnsi="Times New Roman" w:eastAsia="宋体" w:cs="Times New Roman"/>
                <w:b w:val="0"/>
                <w:bCs w:val="0"/>
                <w:color w:val="0F1115"/>
                <w:sz w:val="24"/>
                <w:szCs w:val="24"/>
                <w:shd w:val="clear" w:fill="FFFFFF"/>
              </w:rPr>
              <w:t>，得</w:t>
            </w:r>
            <w:r>
              <w:rPr>
                <w:rFonts w:hint="default" w:ascii="Times New Roman" w:hAnsi="Times New Roman" w:eastAsia="宋体" w:cs="Times New Roman"/>
                <w:b w:val="0"/>
                <w:bCs w:val="0"/>
                <w:color w:val="0F1115"/>
                <w:sz w:val="24"/>
                <w:szCs w:val="24"/>
                <w:shd w:val="clear" w:fill="FFFFFF"/>
                <w:lang w:val="en-US" w:eastAsia="zh-CN"/>
              </w:rPr>
              <w:t>20</w:t>
            </w:r>
            <w:r>
              <w:rPr>
                <w:rFonts w:hint="default" w:ascii="Times New Roman" w:hAnsi="Times New Roman" w:eastAsia="宋体" w:cs="Times New Roman"/>
                <w:b w:val="0"/>
                <w:bCs w:val="0"/>
                <w:color w:val="0F1115"/>
                <w:sz w:val="24"/>
                <w:szCs w:val="24"/>
                <w:shd w:val="clear" w:fill="FFFFFF"/>
              </w:rPr>
              <w:t>分。</w:t>
            </w:r>
          </w:p>
          <w:p w14:paraId="2433EF45">
            <w:pPr>
              <w:pStyle w:val="4"/>
              <w:widowControl/>
              <w:shd w:val="clear" w:fill="FFFFFF"/>
              <w:spacing w:before="0" w:beforeAutospacing="0" w:after="0" w:afterAutospacing="0" w:line="320" w:lineRule="exact"/>
              <w:ind w:left="0" w:right="0" w:firstLine="0" w:firstLineChars="0"/>
              <w:jc w:val="left"/>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color w:val="0F1115"/>
                <w:sz w:val="24"/>
                <w:szCs w:val="24"/>
                <w:shd w:val="clear" w:fill="FFFFFF"/>
                <w:lang w:val="en-US" w:eastAsia="zh-CN"/>
              </w:rPr>
              <w:t>二、</w:t>
            </w:r>
            <w:r>
              <w:rPr>
                <w:rFonts w:hint="default" w:ascii="Times New Roman" w:hAnsi="Times New Roman" w:eastAsia="宋体" w:cs="Times New Roman"/>
                <w:b w:val="0"/>
                <w:bCs w:val="0"/>
                <w:color w:val="0F1115"/>
                <w:sz w:val="24"/>
                <w:szCs w:val="24"/>
                <w:shd w:val="clear" w:fill="FFFFFF"/>
              </w:rPr>
              <w:t>证明材料：</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（一）</w:t>
            </w:r>
            <w:r>
              <w:rPr>
                <w:rFonts w:hint="default" w:ascii="Times New Roman" w:hAnsi="Times New Roman" w:eastAsia="宋体" w:cs="Times New Roman"/>
                <w:b w:val="0"/>
                <w:bCs w:val="0"/>
                <w:color w:val="0F1115"/>
                <w:sz w:val="24"/>
                <w:szCs w:val="24"/>
                <w:shd w:val="clear" w:fill="FFFFFF"/>
              </w:rPr>
              <w:t>直营门店：提供租赁</w:t>
            </w:r>
            <w:r>
              <w:rPr>
                <w:rFonts w:hint="default" w:ascii="Times New Roman" w:hAnsi="Times New Roman" w:eastAsia="宋体" w:cs="Times New Roman"/>
                <w:b w:val="0"/>
                <w:bCs w:val="0"/>
                <w:color w:val="0F1115"/>
                <w:sz w:val="24"/>
                <w:szCs w:val="24"/>
                <w:shd w:val="clear" w:fill="FFFFFF"/>
                <w:lang w:eastAsia="zh-CN"/>
              </w:rPr>
              <w:t>合作协议</w:t>
            </w:r>
            <w:r>
              <w:rPr>
                <w:rFonts w:hint="default" w:ascii="Times New Roman" w:hAnsi="Times New Roman" w:eastAsia="宋体" w:cs="Times New Roman"/>
                <w:b w:val="0"/>
                <w:bCs w:val="0"/>
                <w:color w:val="0F1115"/>
                <w:sz w:val="24"/>
                <w:szCs w:val="24"/>
                <w:shd w:val="clear" w:fill="FFFFFF"/>
              </w:rPr>
              <w:t>（或产权证）、营业执照、门店实景照片；</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（二）</w:t>
            </w:r>
            <w:r>
              <w:rPr>
                <w:rFonts w:hint="default" w:ascii="Times New Roman" w:hAnsi="Times New Roman" w:eastAsia="宋体" w:cs="Times New Roman"/>
                <w:b w:val="0"/>
                <w:bCs w:val="0"/>
                <w:color w:val="0F1115"/>
                <w:sz w:val="24"/>
                <w:szCs w:val="24"/>
                <w:shd w:val="clear" w:fill="FFFFFF"/>
              </w:rPr>
              <w:t>加盟门店：提供加盟</w:t>
            </w:r>
            <w:r>
              <w:rPr>
                <w:rFonts w:hint="default" w:ascii="Times New Roman" w:hAnsi="Times New Roman" w:eastAsia="宋体" w:cs="Times New Roman"/>
                <w:b w:val="0"/>
                <w:bCs w:val="0"/>
                <w:color w:val="0F1115"/>
                <w:sz w:val="24"/>
                <w:szCs w:val="24"/>
                <w:shd w:val="clear" w:fill="FFFFFF"/>
                <w:lang w:eastAsia="zh-CN"/>
              </w:rPr>
              <w:t>合作协议</w:t>
            </w:r>
            <w:r>
              <w:rPr>
                <w:rFonts w:hint="default" w:ascii="Times New Roman" w:hAnsi="Times New Roman" w:eastAsia="宋体" w:cs="Times New Roman"/>
                <w:b w:val="0"/>
                <w:bCs w:val="0"/>
                <w:color w:val="0F1115"/>
                <w:sz w:val="24"/>
                <w:szCs w:val="24"/>
                <w:shd w:val="clear" w:fill="FFFFFF"/>
              </w:rPr>
              <w:t>（或品牌授权书）、门店实景照片；</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（三）</w:t>
            </w:r>
            <w:r>
              <w:rPr>
                <w:rFonts w:hint="default" w:ascii="Times New Roman" w:hAnsi="Times New Roman" w:eastAsia="宋体" w:cs="Times New Roman"/>
                <w:b w:val="0"/>
                <w:bCs w:val="0"/>
                <w:color w:val="0F1115"/>
                <w:sz w:val="24"/>
                <w:szCs w:val="24"/>
                <w:shd w:val="clear" w:fill="FFFFFF"/>
              </w:rPr>
              <w:t>如同一品牌多店，可附品牌官网门店列表截图或品牌方出具的门店数量证明。</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eastAsia="zh-CN"/>
              </w:rPr>
              <w:t>客运站公司</w:t>
            </w:r>
            <w:r>
              <w:rPr>
                <w:rFonts w:hint="default" w:ascii="Times New Roman" w:hAnsi="Times New Roman" w:eastAsia="宋体" w:cs="Times New Roman"/>
                <w:b w:val="0"/>
                <w:bCs w:val="0"/>
                <w:color w:val="0F1115"/>
                <w:sz w:val="24"/>
                <w:szCs w:val="24"/>
                <w:shd w:val="clear" w:fill="FFFFFF"/>
              </w:rPr>
              <w:t>有权要求提供额外佐证材料或实地核实。</w:t>
            </w:r>
          </w:p>
        </w:tc>
      </w:tr>
      <w:tr w14:paraId="1D9B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245219FF">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sz w:val="24"/>
                <w:szCs w:val="24"/>
                <w:shd w:val="clear" w:fill="FFFFFF"/>
                <w:lang w:bidi="ar"/>
              </w:rPr>
              <w:t>经营实力</w:t>
            </w:r>
          </w:p>
        </w:tc>
        <w:tc>
          <w:tcPr>
            <w:tcW w:w="560"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7D6AE9E">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sz w:val="24"/>
                <w:szCs w:val="24"/>
                <w:shd w:val="clear" w:fill="FFFFFF"/>
                <w:lang w:val="en-US" w:eastAsia="zh-CN" w:bidi="ar"/>
              </w:rPr>
              <w:t>20</w:t>
            </w:r>
            <w:r>
              <w:rPr>
                <w:rFonts w:hint="default" w:ascii="Times New Roman" w:hAnsi="Times New Roman" w:eastAsia="宋体" w:cs="Times New Roman"/>
                <w:b w:val="0"/>
                <w:bCs w:val="0"/>
                <w:sz w:val="24"/>
                <w:szCs w:val="24"/>
                <w:shd w:val="clear" w:fill="FFFFFF"/>
                <w:lang w:bidi="ar"/>
              </w:rPr>
              <w:t>分</w:t>
            </w:r>
          </w:p>
        </w:tc>
        <w:tc>
          <w:tcPr>
            <w:tcW w:w="3728"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115F9389">
            <w:pPr>
              <w:pStyle w:val="4"/>
              <w:widowControl/>
              <w:shd w:val="clear" w:fill="FFFFFF"/>
              <w:spacing w:beforeAutospacing="0" w:afterAutospacing="0" w:line="320" w:lineRule="exact"/>
              <w:ind w:firstLine="0" w:firstLineChars="0"/>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color w:val="0F1115"/>
                <w:sz w:val="24"/>
                <w:szCs w:val="24"/>
                <w:shd w:val="clear" w:fill="FFFFFF"/>
                <w:lang w:val="en-US" w:eastAsia="zh-CN"/>
              </w:rPr>
              <w:t>一、</w:t>
            </w:r>
            <w:r>
              <w:rPr>
                <w:rFonts w:hint="default" w:ascii="Times New Roman" w:hAnsi="Times New Roman" w:eastAsia="宋体" w:cs="Times New Roman"/>
                <w:b w:val="0"/>
                <w:bCs w:val="0"/>
                <w:color w:val="0F1115"/>
                <w:sz w:val="24"/>
                <w:szCs w:val="24"/>
                <w:shd w:val="clear" w:fill="FFFFFF"/>
              </w:rPr>
              <w:t>企业注册资本＜</w:t>
            </w:r>
            <w:r>
              <w:rPr>
                <w:rFonts w:hint="default" w:ascii="Times New Roman" w:hAnsi="Times New Roman" w:eastAsia="宋体" w:cs="Times New Roman"/>
                <w:b w:val="0"/>
                <w:bCs w:val="0"/>
                <w:color w:val="0F1115"/>
                <w:sz w:val="24"/>
                <w:szCs w:val="24"/>
                <w:shd w:val="clear" w:fill="FFFFFF"/>
                <w:lang w:val="en-US"/>
              </w:rPr>
              <w:t>10</w:t>
            </w:r>
            <w:r>
              <w:rPr>
                <w:rFonts w:hint="default" w:ascii="Times New Roman" w:hAnsi="Times New Roman" w:eastAsia="宋体" w:cs="Times New Roman"/>
                <w:b w:val="0"/>
                <w:bCs w:val="0"/>
                <w:color w:val="0F1115"/>
                <w:sz w:val="24"/>
                <w:szCs w:val="24"/>
                <w:shd w:val="clear" w:fill="FFFFFF"/>
              </w:rPr>
              <w:t>万，得</w:t>
            </w:r>
            <w:r>
              <w:rPr>
                <w:rFonts w:hint="default" w:ascii="Times New Roman" w:hAnsi="Times New Roman" w:eastAsia="宋体" w:cs="Times New Roman"/>
                <w:b w:val="0"/>
                <w:bCs w:val="0"/>
                <w:color w:val="0F1115"/>
                <w:sz w:val="24"/>
                <w:szCs w:val="24"/>
                <w:shd w:val="clear" w:fill="FFFFFF"/>
                <w:lang w:val="en-US"/>
              </w:rPr>
              <w:t>10</w:t>
            </w:r>
            <w:r>
              <w:rPr>
                <w:rFonts w:hint="default" w:ascii="Times New Roman" w:hAnsi="Times New Roman" w:eastAsia="宋体" w:cs="Times New Roman"/>
                <w:b w:val="0"/>
                <w:bCs w:val="0"/>
                <w:color w:val="0F1115"/>
                <w:sz w:val="24"/>
                <w:szCs w:val="24"/>
                <w:shd w:val="clear" w:fill="FFFFFF"/>
              </w:rPr>
              <w:t>分；</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二、</w:t>
            </w:r>
            <w:r>
              <w:rPr>
                <w:rFonts w:hint="default" w:ascii="Times New Roman" w:hAnsi="Times New Roman" w:eastAsia="宋体" w:cs="Times New Roman"/>
                <w:b w:val="0"/>
                <w:bCs w:val="0"/>
                <w:color w:val="0F1115"/>
                <w:sz w:val="24"/>
                <w:szCs w:val="24"/>
                <w:shd w:val="clear" w:fill="FFFFFF"/>
                <w:lang w:val="en-US"/>
              </w:rPr>
              <w:t>10</w:t>
            </w:r>
            <w:r>
              <w:rPr>
                <w:rFonts w:hint="default" w:ascii="Times New Roman" w:hAnsi="Times New Roman" w:eastAsia="宋体" w:cs="Times New Roman"/>
                <w:b w:val="0"/>
                <w:bCs w:val="0"/>
                <w:color w:val="0F1115"/>
                <w:sz w:val="24"/>
                <w:szCs w:val="24"/>
                <w:shd w:val="clear" w:fill="FFFFFF"/>
              </w:rPr>
              <w:t>万≤注册资本＜</w:t>
            </w:r>
            <w:r>
              <w:rPr>
                <w:rFonts w:hint="default" w:ascii="Times New Roman" w:hAnsi="Times New Roman" w:eastAsia="宋体" w:cs="Times New Roman"/>
                <w:b w:val="0"/>
                <w:bCs w:val="0"/>
                <w:color w:val="0F1115"/>
                <w:sz w:val="24"/>
                <w:szCs w:val="24"/>
                <w:shd w:val="clear" w:fill="FFFFFF"/>
                <w:lang w:val="en-US"/>
              </w:rPr>
              <w:t>20</w:t>
            </w:r>
            <w:r>
              <w:rPr>
                <w:rFonts w:hint="default" w:ascii="Times New Roman" w:hAnsi="Times New Roman" w:eastAsia="宋体" w:cs="Times New Roman"/>
                <w:b w:val="0"/>
                <w:bCs w:val="0"/>
                <w:color w:val="0F1115"/>
                <w:sz w:val="24"/>
                <w:szCs w:val="24"/>
                <w:shd w:val="clear" w:fill="FFFFFF"/>
              </w:rPr>
              <w:t>万，得</w:t>
            </w:r>
            <w:r>
              <w:rPr>
                <w:rFonts w:hint="default" w:ascii="Times New Roman" w:hAnsi="Times New Roman" w:eastAsia="宋体" w:cs="Times New Roman"/>
                <w:b w:val="0"/>
                <w:bCs w:val="0"/>
                <w:color w:val="0F1115"/>
                <w:sz w:val="24"/>
                <w:szCs w:val="24"/>
                <w:shd w:val="clear" w:fill="FFFFFF"/>
                <w:lang w:val="en-US"/>
              </w:rPr>
              <w:t>15</w:t>
            </w:r>
            <w:r>
              <w:rPr>
                <w:rFonts w:hint="default" w:ascii="Times New Roman" w:hAnsi="Times New Roman" w:eastAsia="宋体" w:cs="Times New Roman"/>
                <w:b w:val="0"/>
                <w:bCs w:val="0"/>
                <w:color w:val="0F1115"/>
                <w:sz w:val="24"/>
                <w:szCs w:val="24"/>
                <w:shd w:val="clear" w:fill="FFFFFF"/>
              </w:rPr>
              <w:t>分；</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三、</w:t>
            </w:r>
            <w:r>
              <w:rPr>
                <w:rFonts w:hint="default" w:ascii="Times New Roman" w:hAnsi="Times New Roman" w:eastAsia="宋体" w:cs="Times New Roman"/>
                <w:b w:val="0"/>
                <w:bCs w:val="0"/>
                <w:color w:val="0F1115"/>
                <w:sz w:val="24"/>
                <w:szCs w:val="24"/>
                <w:shd w:val="clear" w:fill="FFFFFF"/>
              </w:rPr>
              <w:t>注册资本≥</w:t>
            </w:r>
            <w:r>
              <w:rPr>
                <w:rFonts w:hint="default" w:ascii="Times New Roman" w:hAnsi="Times New Roman" w:eastAsia="宋体" w:cs="Times New Roman"/>
                <w:b w:val="0"/>
                <w:bCs w:val="0"/>
                <w:color w:val="0F1115"/>
                <w:sz w:val="24"/>
                <w:szCs w:val="24"/>
                <w:shd w:val="clear" w:fill="FFFFFF"/>
                <w:lang w:val="en-US"/>
              </w:rPr>
              <w:t>20</w:t>
            </w:r>
            <w:r>
              <w:rPr>
                <w:rFonts w:hint="default" w:ascii="Times New Roman" w:hAnsi="Times New Roman" w:eastAsia="宋体" w:cs="Times New Roman"/>
                <w:b w:val="0"/>
                <w:bCs w:val="0"/>
                <w:color w:val="0F1115"/>
                <w:sz w:val="24"/>
                <w:szCs w:val="24"/>
                <w:shd w:val="clear" w:fill="FFFFFF"/>
              </w:rPr>
              <w:t>万，得</w:t>
            </w:r>
            <w:r>
              <w:rPr>
                <w:rFonts w:hint="default" w:ascii="Times New Roman" w:hAnsi="Times New Roman" w:eastAsia="宋体" w:cs="Times New Roman"/>
                <w:b w:val="0"/>
                <w:bCs w:val="0"/>
                <w:color w:val="0F1115"/>
                <w:sz w:val="24"/>
                <w:szCs w:val="24"/>
                <w:shd w:val="clear" w:fill="FFFFFF"/>
                <w:lang w:val="en-US"/>
              </w:rPr>
              <w:t>20</w:t>
            </w:r>
            <w:r>
              <w:rPr>
                <w:rFonts w:hint="default" w:ascii="Times New Roman" w:hAnsi="Times New Roman" w:eastAsia="宋体" w:cs="Times New Roman"/>
                <w:b w:val="0"/>
                <w:bCs w:val="0"/>
                <w:color w:val="0F1115"/>
                <w:sz w:val="24"/>
                <w:szCs w:val="24"/>
                <w:shd w:val="clear" w:fill="FFFFFF"/>
              </w:rPr>
              <w:t>分。</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rPr>
              <w:t>若报名主体为品牌中山区域代理</w:t>
            </w:r>
            <w:r>
              <w:rPr>
                <w:rFonts w:hint="default" w:ascii="Times New Roman" w:hAnsi="Times New Roman" w:eastAsia="宋体" w:cs="Times New Roman"/>
                <w:b w:val="0"/>
                <w:bCs w:val="0"/>
                <w:color w:val="0F1115"/>
                <w:sz w:val="24"/>
                <w:szCs w:val="24"/>
                <w:shd w:val="clear" w:fill="FFFFFF"/>
                <w:lang w:val="en-US"/>
              </w:rPr>
              <w:t>/</w:t>
            </w:r>
            <w:r>
              <w:rPr>
                <w:rFonts w:hint="default" w:ascii="Times New Roman" w:hAnsi="Times New Roman" w:eastAsia="宋体" w:cs="Times New Roman"/>
                <w:b w:val="0"/>
                <w:bCs w:val="0"/>
                <w:color w:val="0F1115"/>
                <w:sz w:val="24"/>
                <w:szCs w:val="24"/>
                <w:shd w:val="clear" w:fill="FFFFFF"/>
              </w:rPr>
              <w:t>加盟商，可提供品牌方授权书及品牌方整体实力证明作为辅助材料。</w:t>
            </w:r>
          </w:p>
        </w:tc>
      </w:tr>
      <w:tr w14:paraId="093B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10" w:type="pc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992653C">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sz w:val="24"/>
                <w:szCs w:val="24"/>
                <w:shd w:val="clear" w:fill="FFFFFF"/>
                <w:lang w:val="en-US" w:eastAsia="zh-CN"/>
              </w:rPr>
              <w:t>商铺</w:t>
            </w:r>
            <w:r>
              <w:rPr>
                <w:rFonts w:hint="default" w:ascii="Times New Roman" w:hAnsi="Times New Roman" w:eastAsia="宋体" w:cs="Times New Roman"/>
                <w:b w:val="0"/>
                <w:bCs w:val="0"/>
                <w:sz w:val="24"/>
                <w:szCs w:val="24"/>
                <w:shd w:val="clear" w:fill="FFFFFF"/>
              </w:rPr>
              <w:t>运营方案</w:t>
            </w:r>
          </w:p>
        </w:tc>
        <w:tc>
          <w:tcPr>
            <w:tcW w:w="560"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0660FE8">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bidi="ar"/>
              </w:rPr>
            </w:pPr>
            <w:r>
              <w:rPr>
                <w:rFonts w:hint="default" w:ascii="Times New Roman" w:hAnsi="Times New Roman" w:eastAsia="宋体" w:cs="Times New Roman"/>
                <w:b w:val="0"/>
                <w:bCs w:val="0"/>
                <w:sz w:val="24"/>
                <w:szCs w:val="24"/>
                <w:shd w:val="clear" w:fill="FFFFFF"/>
                <w:lang w:val="en-US" w:eastAsia="zh-CN" w:bidi="ar"/>
              </w:rPr>
              <w:t>2</w:t>
            </w:r>
            <w:r>
              <w:rPr>
                <w:rFonts w:hint="default" w:ascii="Times New Roman" w:hAnsi="Times New Roman" w:eastAsia="宋体" w:cs="Times New Roman"/>
                <w:b w:val="0"/>
                <w:bCs w:val="0"/>
                <w:sz w:val="24"/>
                <w:szCs w:val="24"/>
                <w:shd w:val="clear" w:fill="FFFFFF"/>
                <w:lang w:val="en-US" w:bidi="ar"/>
              </w:rPr>
              <w:t>0</w:t>
            </w:r>
            <w:r>
              <w:rPr>
                <w:rFonts w:hint="default" w:ascii="Times New Roman" w:hAnsi="Times New Roman" w:eastAsia="宋体" w:cs="Times New Roman"/>
                <w:b w:val="0"/>
                <w:bCs w:val="0"/>
                <w:sz w:val="24"/>
                <w:szCs w:val="24"/>
                <w:shd w:val="clear" w:fill="FFFFFF"/>
                <w:lang w:bidi="ar"/>
              </w:rPr>
              <w:t>分</w:t>
            </w:r>
          </w:p>
        </w:tc>
        <w:tc>
          <w:tcPr>
            <w:tcW w:w="3728"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5D0C644">
            <w:pPr>
              <w:pStyle w:val="4"/>
              <w:widowControl/>
              <w:shd w:val="clear" w:fill="FFFFFF"/>
              <w:spacing w:beforeAutospacing="0" w:afterAutospacing="0" w:line="320" w:lineRule="exact"/>
              <w:ind w:firstLine="480" w:firstLineChars="200"/>
              <w:jc w:val="both"/>
              <w:rPr>
                <w:rFonts w:hint="default" w:ascii="Times New Roman" w:hAnsi="Times New Roman" w:eastAsia="宋体" w:cs="Times New Roman"/>
                <w:b w:val="0"/>
                <w:bCs w:val="0"/>
                <w:sz w:val="24"/>
                <w:szCs w:val="24"/>
                <w:shd w:val="clear" w:fill="FFFFFF"/>
                <w:lang w:val="en-US"/>
              </w:rPr>
            </w:pPr>
            <w:r>
              <w:rPr>
                <w:rFonts w:hint="default" w:ascii="Times New Roman" w:hAnsi="Times New Roman" w:eastAsia="宋体" w:cs="Times New Roman"/>
                <w:b w:val="0"/>
                <w:bCs w:val="0"/>
                <w:color w:val="0F1115"/>
                <w:sz w:val="24"/>
                <w:szCs w:val="24"/>
                <w:shd w:val="clear" w:fill="FFFFFF"/>
              </w:rPr>
              <w:t>方案围绕场景的契合度、内容完整性、落地可操作性‌三个核心维度综合评定，具体评分规则如</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rPr>
              <w:t>：</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一、</w:t>
            </w:r>
            <w:r>
              <w:rPr>
                <w:rFonts w:hint="default" w:ascii="Times New Roman" w:hAnsi="Times New Roman" w:eastAsia="宋体" w:cs="Times New Roman"/>
                <w:b w:val="0"/>
                <w:bCs w:val="0"/>
                <w:color w:val="0F1115"/>
                <w:sz w:val="24"/>
                <w:szCs w:val="24"/>
                <w:shd w:val="clear" w:fill="FFFFFF"/>
              </w:rPr>
              <w:t>优秀（</w:t>
            </w:r>
            <w:r>
              <w:rPr>
                <w:rFonts w:hint="default" w:ascii="Times New Roman" w:hAnsi="Times New Roman" w:eastAsia="宋体" w:cs="Times New Roman"/>
                <w:b w:val="0"/>
                <w:bCs w:val="0"/>
                <w:color w:val="0F1115"/>
                <w:sz w:val="24"/>
                <w:szCs w:val="24"/>
                <w:shd w:val="clear" w:fill="FFFFFF"/>
                <w:lang w:val="en-US" w:eastAsia="zh-CN"/>
              </w:rPr>
              <w:t>1—2</w:t>
            </w:r>
            <w:r>
              <w:rPr>
                <w:rFonts w:hint="default" w:ascii="Times New Roman" w:hAnsi="Times New Roman" w:eastAsia="宋体" w:cs="Times New Roman"/>
                <w:b w:val="0"/>
                <w:bCs w:val="0"/>
                <w:color w:val="0F1115"/>
                <w:sz w:val="24"/>
                <w:szCs w:val="24"/>
                <w:shd w:val="clear" w:fill="FFFFFF"/>
                <w:lang w:val="en-US"/>
              </w:rPr>
              <w:t>0</w:t>
            </w:r>
            <w:r>
              <w:rPr>
                <w:rFonts w:hint="default" w:ascii="Times New Roman" w:hAnsi="Times New Roman" w:eastAsia="宋体" w:cs="Times New Roman"/>
                <w:b w:val="0"/>
                <w:bCs w:val="0"/>
                <w:color w:val="0F1115"/>
                <w:sz w:val="24"/>
                <w:szCs w:val="24"/>
                <w:shd w:val="clear" w:fill="FFFFFF"/>
              </w:rPr>
              <w:t>分）：方案体系完</w:t>
            </w:r>
            <w:r>
              <w:rPr>
                <w:rFonts w:hint="eastAsia" w:ascii="Times New Roman" w:hAnsi="Times New Roman" w:cs="Times New Roman"/>
                <w:b w:val="0"/>
                <w:bCs w:val="0"/>
                <w:color w:val="0F1115"/>
                <w:sz w:val="24"/>
                <w:szCs w:val="24"/>
                <w:shd w:val="clear" w:fill="FFFFFF"/>
                <w:lang w:val="en-US" w:eastAsia="zh-CN"/>
              </w:rPr>
              <w:t>整</w:t>
            </w:r>
            <w:r>
              <w:rPr>
                <w:rFonts w:hint="default" w:ascii="Times New Roman" w:hAnsi="Times New Roman" w:eastAsia="宋体" w:cs="Times New Roman"/>
                <w:b w:val="0"/>
                <w:bCs w:val="0"/>
                <w:color w:val="0F1115"/>
                <w:sz w:val="24"/>
                <w:szCs w:val="24"/>
                <w:shd w:val="clear" w:fill="FFFFFF"/>
              </w:rPr>
              <w:t>，完全匹配客运站客流潮汐波动、旅客出行刚需等核心特征，针对高峰时段客流疏导与保供、食品经营全链条安全管控、非出行时段客流激活与旅客复购提升等关键环节，均制定可直接落地的细化执行举措，同时明确公示可考核的服务标准承诺，无模糊空白内；</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二、</w:t>
            </w:r>
            <w:r>
              <w:rPr>
                <w:rFonts w:hint="default" w:ascii="Times New Roman" w:hAnsi="Times New Roman" w:eastAsia="宋体" w:cs="Times New Roman"/>
                <w:b w:val="0"/>
                <w:bCs w:val="0"/>
                <w:color w:val="0F1115"/>
                <w:sz w:val="24"/>
                <w:szCs w:val="24"/>
                <w:shd w:val="clear" w:fill="FFFFFF"/>
              </w:rPr>
              <w:t>良好（</w:t>
            </w:r>
            <w:r>
              <w:rPr>
                <w:rFonts w:hint="default" w:ascii="Times New Roman" w:hAnsi="Times New Roman" w:eastAsia="宋体" w:cs="Times New Roman"/>
                <w:b w:val="0"/>
                <w:bCs w:val="0"/>
                <w:color w:val="0F1115"/>
                <w:sz w:val="24"/>
                <w:szCs w:val="24"/>
                <w:shd w:val="clear" w:fill="FFFFFF"/>
                <w:lang w:val="en-US" w:eastAsia="zh-CN"/>
              </w:rPr>
              <w:t>1—15</w:t>
            </w:r>
            <w:r>
              <w:rPr>
                <w:rFonts w:hint="default" w:ascii="Times New Roman" w:hAnsi="Times New Roman" w:eastAsia="宋体" w:cs="Times New Roman"/>
                <w:b w:val="0"/>
                <w:bCs w:val="0"/>
                <w:color w:val="0F1115"/>
                <w:sz w:val="24"/>
                <w:szCs w:val="24"/>
                <w:shd w:val="clear" w:fill="FFFFFF"/>
              </w:rPr>
              <w:t>分）：方案框架较为完整，能结合客运站客流属性制定对应运营规划，高峰应对、食品安全、引流复购等核心环节均有基础安排，但部分执行细节未明确到人、到时间节点，落地指引不够细化；</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三、</w:t>
            </w:r>
            <w:r>
              <w:rPr>
                <w:rFonts w:hint="default" w:ascii="Times New Roman" w:hAnsi="Times New Roman" w:eastAsia="宋体" w:cs="Times New Roman"/>
                <w:b w:val="0"/>
                <w:bCs w:val="0"/>
                <w:color w:val="0F1115"/>
                <w:sz w:val="24"/>
                <w:szCs w:val="24"/>
                <w:shd w:val="clear" w:fill="FFFFFF"/>
              </w:rPr>
              <w:t>一般（</w:t>
            </w:r>
            <w:r>
              <w:rPr>
                <w:rFonts w:hint="default" w:ascii="Times New Roman" w:hAnsi="Times New Roman" w:eastAsia="宋体"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eastAsia="zh-CN"/>
              </w:rPr>
              <w:t>11</w:t>
            </w:r>
            <w:r>
              <w:rPr>
                <w:rFonts w:hint="default" w:ascii="Times New Roman" w:hAnsi="Times New Roman" w:eastAsia="宋体" w:cs="Times New Roman"/>
                <w:b w:val="0"/>
                <w:bCs w:val="0"/>
                <w:color w:val="0F1115"/>
                <w:sz w:val="24"/>
                <w:szCs w:val="24"/>
                <w:shd w:val="clear" w:fill="FFFFFF"/>
              </w:rPr>
              <w:t>分）：方案内容空洞泛化，未结合客运站专属场景设计针对性举措，和旅客出行消费需求关联度低，核心环节无明确执行路径，整体可操作性不足</w:t>
            </w:r>
            <w:r>
              <w:rPr>
                <w:rFonts w:hint="eastAsia" w:ascii="Times New Roman" w:hAnsi="Times New Roman" w:cs="Times New Roman"/>
                <w:b w:val="0"/>
                <w:bCs w:val="0"/>
                <w:color w:val="0F1115"/>
                <w:sz w:val="24"/>
                <w:szCs w:val="24"/>
                <w:shd w:val="clear" w:fill="FFFFFF"/>
                <w:lang w:eastAsia="zh-CN"/>
              </w:rPr>
              <w:t>；</w:t>
            </w:r>
            <w:r>
              <w:rPr>
                <w:rFonts w:hint="default" w:ascii="Times New Roman" w:hAnsi="Times New Roman" w:eastAsia="宋体" w:cs="Times New Roman"/>
                <w:b w:val="0"/>
                <w:bCs w:val="0"/>
                <w:color w:val="0F1115"/>
                <w:sz w:val="24"/>
                <w:szCs w:val="24"/>
                <w:shd w:val="clear" w:fill="FFFFFF"/>
                <w:lang w:val="en-US"/>
              </w:rPr>
              <w:br w:type="textWrapping"/>
            </w:r>
            <w:r>
              <w:rPr>
                <w:rFonts w:hint="default" w:ascii="Times New Roman" w:hAnsi="Times New Roman" w:eastAsia="宋体" w:cs="Times New Roman"/>
                <w:b w:val="0"/>
                <w:bCs w:val="0"/>
                <w:color w:val="0F1115"/>
                <w:sz w:val="24"/>
                <w:szCs w:val="24"/>
                <w:shd w:val="clear" w:fill="FFFFFF"/>
                <w:lang w:val="en-US" w:eastAsia="zh-CN"/>
              </w:rPr>
              <w:t>四、</w:t>
            </w:r>
            <w:r>
              <w:rPr>
                <w:rFonts w:hint="default" w:ascii="Times New Roman" w:hAnsi="Times New Roman" w:eastAsia="宋体" w:cs="Times New Roman"/>
                <w:b w:val="0"/>
                <w:bCs w:val="0"/>
                <w:color w:val="0F1115"/>
                <w:sz w:val="24"/>
                <w:szCs w:val="24"/>
                <w:shd w:val="clear" w:fill="FFFFFF"/>
              </w:rPr>
              <w:t>未提供运营方案的，得</w:t>
            </w:r>
            <w:r>
              <w:rPr>
                <w:rFonts w:hint="default" w:ascii="Times New Roman" w:hAnsi="Times New Roman" w:eastAsia="宋体" w:cs="Times New Roman"/>
                <w:b w:val="0"/>
                <w:bCs w:val="0"/>
                <w:color w:val="0F1115"/>
                <w:sz w:val="24"/>
                <w:szCs w:val="24"/>
                <w:shd w:val="clear" w:fill="FFFFFF"/>
                <w:lang w:val="en-US"/>
              </w:rPr>
              <w:t>0</w:t>
            </w:r>
            <w:r>
              <w:rPr>
                <w:rFonts w:hint="default" w:ascii="Times New Roman" w:hAnsi="Times New Roman" w:eastAsia="宋体" w:cs="Times New Roman"/>
                <w:b w:val="0"/>
                <w:bCs w:val="0"/>
                <w:color w:val="0F1115"/>
                <w:sz w:val="24"/>
                <w:szCs w:val="24"/>
                <w:shd w:val="clear" w:fill="FFFFFF"/>
              </w:rPr>
              <w:t>分。</w:t>
            </w:r>
          </w:p>
        </w:tc>
      </w:tr>
      <w:tr w14:paraId="6174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 w:hRule="atLeast"/>
        </w:trPr>
        <w:tc>
          <w:tcPr>
            <w:tcW w:w="710" w:type="pc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5C9BB2B">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64B01828">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1C92A653">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5D1E117C">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558E4A78">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06FFCEF9">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3D9B6969">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5E3E7E25">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7BD1FE08">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rPr>
            </w:pPr>
          </w:p>
          <w:p w14:paraId="7DCAAB78">
            <w:pPr>
              <w:pStyle w:val="4"/>
              <w:widowControl/>
              <w:shd w:val="clear" w:fill="FFFFFF"/>
              <w:spacing w:beforeAutospacing="0" w:afterAutospacing="0" w:line="320" w:lineRule="exact"/>
              <w:ind w:firstLine="0" w:firstLineChars="0"/>
              <w:jc w:val="center"/>
              <w:rPr>
                <w:rFonts w:hint="default" w:ascii="Times New Roman" w:hAnsi="Times New Roman" w:eastAsia="宋体" w:cs="Times New Roman"/>
                <w:b w:val="0"/>
                <w:bCs w:val="0"/>
                <w:sz w:val="24"/>
                <w:szCs w:val="24"/>
                <w:shd w:val="clear" w:fill="FFFFFF"/>
                <w:lang w:val="en-US" w:eastAsia="zh-CN"/>
              </w:rPr>
            </w:pPr>
            <w:r>
              <w:rPr>
                <w:rFonts w:hint="default" w:ascii="Times New Roman" w:hAnsi="Times New Roman" w:eastAsia="宋体" w:cs="Times New Roman"/>
                <w:b w:val="0"/>
                <w:bCs w:val="0"/>
                <w:sz w:val="24"/>
                <w:szCs w:val="24"/>
                <w:shd w:val="clear" w:fill="FFFFFF"/>
                <w:lang w:val="en-US" w:eastAsia="zh-CN"/>
              </w:rPr>
              <w:t>经营业态品类承诺及履约要求</w:t>
            </w:r>
          </w:p>
        </w:tc>
        <w:tc>
          <w:tcPr>
            <w:tcW w:w="560"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3AAC314">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3578776F">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6C6B1C0E">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5265ACE7">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6C57B5E3">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7D3B5615">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00F6CAB1">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020CC622">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6811AEC4">
            <w:pPr>
              <w:pStyle w:val="4"/>
              <w:widowControl/>
              <w:shd w:val="clear" w:fill="FFFFFF"/>
              <w:spacing w:beforeAutospacing="0" w:afterAutospacing="0" w:line="320" w:lineRule="exact"/>
              <w:ind w:firstLine="480" w:firstLineChars="200"/>
              <w:jc w:val="center"/>
              <w:rPr>
                <w:rFonts w:hint="default" w:ascii="Times New Roman" w:hAnsi="Times New Roman" w:eastAsia="宋体" w:cs="Times New Roman"/>
                <w:b w:val="0"/>
                <w:bCs w:val="0"/>
                <w:sz w:val="24"/>
                <w:szCs w:val="24"/>
                <w:shd w:val="clear" w:fill="FFFFFF"/>
                <w:lang w:val="en-US" w:eastAsia="zh-CN" w:bidi="ar"/>
              </w:rPr>
            </w:pPr>
          </w:p>
          <w:p w14:paraId="6D7A8E26">
            <w:pPr>
              <w:pStyle w:val="4"/>
              <w:widowControl/>
              <w:shd w:val="clear" w:fill="FFFFFF"/>
              <w:spacing w:beforeAutospacing="0" w:afterAutospacing="0" w:line="320" w:lineRule="exact"/>
              <w:ind w:firstLine="0" w:firstLineChars="0"/>
              <w:jc w:val="both"/>
              <w:rPr>
                <w:rFonts w:hint="default" w:ascii="Times New Roman" w:hAnsi="Times New Roman" w:eastAsia="宋体" w:cs="Times New Roman"/>
                <w:b w:val="0"/>
                <w:bCs w:val="0"/>
                <w:sz w:val="24"/>
                <w:szCs w:val="24"/>
                <w:shd w:val="clear" w:fill="FFFFFF"/>
                <w:lang w:val="en-US" w:eastAsia="zh-CN" w:bidi="ar"/>
              </w:rPr>
            </w:pPr>
            <w:r>
              <w:rPr>
                <w:rFonts w:hint="default" w:ascii="Times New Roman" w:hAnsi="Times New Roman" w:eastAsia="宋体" w:cs="Times New Roman"/>
                <w:b w:val="0"/>
                <w:bCs w:val="0"/>
                <w:sz w:val="24"/>
                <w:szCs w:val="24"/>
                <w:shd w:val="clear" w:fill="FFFFFF"/>
                <w:lang w:val="en-US" w:eastAsia="zh-CN" w:bidi="ar"/>
              </w:rPr>
              <w:t>15分</w:t>
            </w:r>
          </w:p>
        </w:tc>
        <w:tc>
          <w:tcPr>
            <w:tcW w:w="3728" w:type="pct"/>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4BEE0E3">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一、承诺及履约要求</w:t>
            </w:r>
          </w:p>
          <w:p w14:paraId="4EFD824E">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一）本条款所指“承诺经营业态品类”，包含意向合作方自营的经营业态品类，以及意向合作方通过招募合作伙伴落地的经营业态品类，适配车站场景的常见品类示例包括但不限于便利店、餐饮店、奶茶饮品店、中山特产店等</w:t>
            </w:r>
            <w:r>
              <w:rPr>
                <w:rFonts w:hint="eastAsia" w:ascii="Times New Roman" w:hAnsi="Times New Roman" w:eastAsia="宋体" w:cs="Times New Roman"/>
                <w:b w:val="0"/>
                <w:bCs w:val="0"/>
                <w:color w:val="0F1115"/>
                <w:sz w:val="24"/>
                <w:szCs w:val="24"/>
                <w:shd w:val="clear" w:fill="FFFFFF"/>
                <w:lang w:val="en-US" w:eastAsia="zh-CN"/>
              </w:rPr>
              <w:t>；</w:t>
            </w:r>
          </w:p>
          <w:p w14:paraId="5DFC65CC">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（二）意向合作方需在填写报名表时明确承诺拟落地的全部经营业态品类数量，该承诺内容将作为后续合作协议的核心履约条款。</w:t>
            </w:r>
          </w:p>
          <w:p w14:paraId="76D7AE63">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二、对应评分规则</w:t>
            </w:r>
          </w:p>
          <w:p w14:paraId="34AE3400">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（一）若意向合作方承诺的经营业态品类仅为1种，直接取消其合作资格</w:t>
            </w:r>
            <w:r>
              <w:rPr>
                <w:rFonts w:hint="eastAsia" w:ascii="Times New Roman" w:hAnsi="Times New Roman" w:eastAsia="宋体" w:cs="Times New Roman"/>
                <w:b w:val="0"/>
                <w:bCs w:val="0"/>
                <w:color w:val="0F1115"/>
                <w:sz w:val="24"/>
                <w:szCs w:val="24"/>
                <w:shd w:val="clear" w:fill="FFFFFF"/>
                <w:lang w:val="en-US" w:eastAsia="zh-CN"/>
              </w:rPr>
              <w:t>；</w:t>
            </w:r>
          </w:p>
          <w:p w14:paraId="115D0017">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（二）若意向合作方承诺的经营业态品类为2种，且满足以下开业时间要求的，得10分：</w:t>
            </w:r>
          </w:p>
          <w:p w14:paraId="2108CD64">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1.其中1种经营业态品类在双方签订正式合作协议之日起30个自然日内完成正式营业；</w:t>
            </w:r>
          </w:p>
          <w:p w14:paraId="1BF5DA46">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2.剩余1种经营业态品类在双方签订正式合作协议之日起45个自然日内完成正式营业。</w:t>
            </w:r>
          </w:p>
          <w:p w14:paraId="30D28B47">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（三）若意向合作方承诺的经营业态品类为3种及以上，且满足以下开业时间要求的，得15分：</w:t>
            </w:r>
          </w:p>
          <w:p w14:paraId="427860D2">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1.其中1种经营业态品类在双方签订正式合作协议之日起30个自然日内完成正式营业；</w:t>
            </w:r>
          </w:p>
          <w:p w14:paraId="64FC01EB">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2.剩余2种及以上经营业态品类在双方签订正式合作协议之日起60个自然日内完成正式营业。</w:t>
            </w:r>
          </w:p>
          <w:p w14:paraId="63176A15">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三、协议嵌入约定</w:t>
            </w:r>
          </w:p>
          <w:p w14:paraId="08944479">
            <w:pPr>
              <w:keepNext w:val="0"/>
              <w:keepLines w:val="0"/>
              <w:suppressLineNumbers w:val="0"/>
              <w:spacing w:before="0" w:beforeAutospacing="0" w:after="0" w:afterAutospacing="0" w:line="320" w:lineRule="exact"/>
              <w:ind w:left="0" w:right="0" w:firstLine="0" w:firstLineChars="0"/>
              <w:rPr>
                <w:rFonts w:hint="default" w:ascii="Times New Roman" w:hAnsi="Times New Roman" w:eastAsia="宋体" w:cs="Times New Roman"/>
                <w:b w:val="0"/>
                <w:bCs w:val="0"/>
                <w:color w:val="0F1115"/>
                <w:sz w:val="24"/>
                <w:szCs w:val="24"/>
                <w:shd w:val="clear" w:fill="FFFFFF"/>
                <w:lang w:val="en-US" w:eastAsia="zh-CN"/>
              </w:rPr>
            </w:pPr>
            <w:r>
              <w:rPr>
                <w:rFonts w:hint="default" w:ascii="Times New Roman" w:hAnsi="Times New Roman" w:eastAsia="宋体" w:cs="Times New Roman"/>
                <w:b w:val="0"/>
                <w:bCs w:val="0"/>
                <w:color w:val="0F1115"/>
                <w:sz w:val="24"/>
                <w:szCs w:val="24"/>
                <w:shd w:val="clear" w:fill="FFFFFF"/>
                <w:lang w:val="en-US" w:eastAsia="zh-CN"/>
              </w:rPr>
              <w:t>本条款全部内容将纳入双方后续签署的正式合作协议，作为意向合作方的刚性履约义务，未达到承诺开业时间要求的，将按照协议约定承担相应违约责任。</w:t>
            </w:r>
          </w:p>
        </w:tc>
      </w:tr>
    </w:tbl>
    <w:p w14:paraId="739AF841">
      <w:pPr>
        <w:pStyle w:val="4"/>
        <w:widowControl/>
        <w:spacing w:before="0" w:beforeAutospacing="0" w:after="0" w:afterAutospacing="0" w:line="560" w:lineRule="exact"/>
        <w:ind w:left="0" w:right="0" w:firstLine="640" w:firstLineChars="200"/>
        <w:jc w:val="both"/>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val="0"/>
          <w:bCs w:val="0"/>
          <w:sz w:val="32"/>
          <w:szCs w:val="32"/>
          <w:lang w:eastAsia="zh-CN"/>
        </w:rPr>
        <w:t>说明：</w:t>
      </w: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color w:val="0F1115"/>
          <w:sz w:val="32"/>
          <w:szCs w:val="32"/>
          <w:shd w:val="clear" w:fill="FFFFFF"/>
          <w:lang w:eastAsia="zh-CN"/>
        </w:rPr>
        <w:t>审核小组独立打分，计算平均分（保留2位小数），总分基础值100分；总分低于60分直接淘汰，不进入候选序列</w:t>
      </w:r>
      <w:r>
        <w:rPr>
          <w:rFonts w:hint="default" w:ascii="Times New Roman" w:hAnsi="Times New Roman" w:eastAsia="仿宋_GB2312" w:cs="Times New Roman"/>
          <w:b w:val="0"/>
          <w:bCs w:val="0"/>
          <w:color w:val="0F1115"/>
          <w:sz w:val="32"/>
          <w:szCs w:val="32"/>
          <w:shd w:val="clear" w:fill="FFFFFF"/>
          <w:lang w:val="en-US" w:eastAsia="zh-CN" w:bidi="ar"/>
        </w:rPr>
        <w:t>评分维度；2</w:t>
      </w:r>
      <w:r>
        <w:rPr>
          <w:rFonts w:hint="eastAsia" w:ascii="Times New Roman" w:hAnsi="Times New Roman" w:eastAsia="仿宋_GB2312" w:cs="Times New Roman"/>
          <w:b w:val="0"/>
          <w:bCs w:val="0"/>
          <w:color w:val="0F1115"/>
          <w:sz w:val="32"/>
          <w:szCs w:val="32"/>
          <w:shd w:val="clear" w:fill="FFFFFF"/>
          <w:lang w:val="en-US" w:eastAsia="zh-CN" w:bidi="ar"/>
        </w:rPr>
        <w:t>.</w:t>
      </w:r>
      <w:r>
        <w:rPr>
          <w:rFonts w:hint="default" w:ascii="Times New Roman" w:hAnsi="Times New Roman" w:eastAsia="仿宋_GB2312" w:cs="Times New Roman"/>
          <w:b w:val="0"/>
          <w:bCs w:val="0"/>
          <w:color w:val="0F1115"/>
          <w:sz w:val="32"/>
          <w:szCs w:val="32"/>
          <w:shd w:val="clear" w:fill="FFFFFF"/>
          <w:lang w:eastAsia="zh-CN"/>
        </w:rPr>
        <w:t>若出现两名及以上意向方总分相同且均≥60 分时，按以下优先级依次对比确定顺位：①营收分成比例更高；②品牌实力与经营业绩得分更高；③经营实力得分更高。</w:t>
      </w:r>
    </w:p>
    <w:p w14:paraId="426661E8">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val="en-US" w:eastAsia="zh-CN"/>
        </w:rPr>
      </w:pPr>
      <w:r>
        <w:rPr>
          <w:rFonts w:hint="default" w:ascii="Times New Roman" w:hAnsi="Times New Roman" w:eastAsia="仿宋_GB2312" w:cs="Times New Roman"/>
          <w:color w:val="0F1115"/>
          <w:sz w:val="32"/>
          <w:szCs w:val="32"/>
          <w:shd w:val="clear" w:fill="FFFFFF"/>
          <w:lang w:val="en-US" w:eastAsia="zh-CN"/>
        </w:rPr>
        <w:t>3.</w:t>
      </w:r>
      <w:r>
        <w:rPr>
          <w:rFonts w:hint="default" w:ascii="Times New Roman" w:hAnsi="Times New Roman" w:eastAsia="仿宋_GB2312" w:cs="Times New Roman"/>
          <w:color w:val="0F1115"/>
          <w:sz w:val="32"/>
          <w:szCs w:val="32"/>
          <w:shd w:val="clear" w:fill="FFFFFF"/>
          <w:lang w:eastAsia="zh-CN"/>
        </w:rPr>
        <w:t>中选单位确认规则</w:t>
      </w:r>
    </w:p>
    <w:p w14:paraId="1ACC20D3">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eastAsia="zh-CN"/>
        </w:rPr>
      </w:pPr>
      <w:r>
        <w:rPr>
          <w:rFonts w:hint="default" w:ascii="Times New Roman" w:hAnsi="Times New Roman" w:eastAsia="仿宋_GB2312" w:cs="Times New Roman"/>
          <w:color w:val="0F1115"/>
          <w:sz w:val="32"/>
          <w:szCs w:val="32"/>
          <w:shd w:val="clear" w:fill="FFFFFF"/>
          <w:lang w:eastAsia="zh-CN"/>
        </w:rPr>
        <w:t>（1）有效参评单位中，按总分从高至低排序，排名第一确定为中选方；</w:t>
      </w:r>
    </w:p>
    <w:p w14:paraId="72CF988D">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eastAsia="zh-CN"/>
        </w:rPr>
      </w:pPr>
      <w:r>
        <w:rPr>
          <w:rFonts w:hint="default" w:ascii="Times New Roman" w:hAnsi="Times New Roman" w:eastAsia="仿宋_GB2312" w:cs="Times New Roman"/>
          <w:color w:val="0F1115"/>
          <w:sz w:val="32"/>
          <w:szCs w:val="32"/>
          <w:shd w:val="clear" w:fill="FFFFFF"/>
          <w:lang w:eastAsia="zh-CN"/>
        </w:rPr>
        <w:t>（2）所有参评单位总分均低于60分，本次招募无中选单位，客运站公司可选择重新公开招募或直接终止本次招商；</w:t>
      </w:r>
    </w:p>
    <w:p w14:paraId="04265AE3">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eastAsia="zh-CN"/>
        </w:rPr>
      </w:pPr>
      <w:r>
        <w:rPr>
          <w:rFonts w:hint="default" w:ascii="Times New Roman" w:hAnsi="Times New Roman" w:eastAsia="仿宋_GB2312" w:cs="Times New Roman"/>
          <w:color w:val="0F1115"/>
          <w:sz w:val="32"/>
          <w:szCs w:val="32"/>
          <w:shd w:val="clear" w:fill="FFFFFF"/>
          <w:lang w:eastAsia="zh-CN"/>
        </w:rPr>
        <w:t>（3）无有效报名单位、全部参评单位分数不合格，客运站有权终止本次招募或延长报名期限并另行发布公告。</w:t>
      </w:r>
    </w:p>
    <w:p w14:paraId="55B489E9">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eastAsia="zh-CN"/>
        </w:rPr>
      </w:pPr>
      <w:r>
        <w:rPr>
          <w:rFonts w:hint="default" w:ascii="Times New Roman" w:hAnsi="Times New Roman" w:eastAsia="仿宋_GB2312" w:cs="Times New Roman"/>
          <w:color w:val="0F1115"/>
          <w:sz w:val="32"/>
          <w:szCs w:val="32"/>
          <w:shd w:val="clear" w:fill="FFFFFF"/>
          <w:lang w:val="en-US" w:eastAsia="zh-CN"/>
        </w:rPr>
        <w:t>4.</w:t>
      </w:r>
      <w:r>
        <w:rPr>
          <w:rFonts w:hint="default" w:ascii="Times New Roman" w:hAnsi="Times New Roman" w:eastAsia="仿宋_GB2312" w:cs="Times New Roman"/>
          <w:color w:val="0F1115"/>
          <w:sz w:val="32"/>
          <w:szCs w:val="32"/>
          <w:shd w:val="clear" w:fill="FFFFFF"/>
          <w:lang w:eastAsia="zh-CN"/>
        </w:rPr>
        <w:t>结果公示与签约流程</w:t>
      </w:r>
    </w:p>
    <w:p w14:paraId="4B8FAE15">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val="en-US" w:eastAsia="zh-CN"/>
        </w:rPr>
      </w:pPr>
      <w:r>
        <w:rPr>
          <w:rFonts w:hint="default" w:ascii="Times New Roman" w:hAnsi="Times New Roman" w:eastAsia="仿宋_GB2312" w:cs="Times New Roman"/>
          <w:color w:val="0F1115"/>
          <w:sz w:val="32"/>
          <w:szCs w:val="32"/>
          <w:shd w:val="clear" w:fill="FFFFFF"/>
          <w:lang w:eastAsia="zh-CN"/>
        </w:rPr>
        <w:t>中选评审结果公示2个工作日；公示期无异议，通知中选方洽谈合作协议签订事宜；公示期内存在异议的，异议方须在公示期内提交书面质疑及佐证材料，逾期或材料不全不予受理；核查后异议属实、影响中选结果的，取消该单位中选资格，依次递补同分≥60分候选单位，无合格替补则重新招募。</w:t>
      </w:r>
    </w:p>
    <w:p w14:paraId="173D7B9F">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eastAsia="zh-CN"/>
        </w:rPr>
      </w:pPr>
      <w:r>
        <w:rPr>
          <w:rFonts w:hint="default" w:ascii="Times New Roman" w:hAnsi="Times New Roman" w:eastAsia="仿宋_GB2312" w:cs="Times New Roman"/>
          <w:color w:val="0F1115"/>
          <w:sz w:val="32"/>
          <w:szCs w:val="32"/>
          <w:shd w:val="clear" w:fill="FFFFFF"/>
          <w:lang w:val="en-US" w:eastAsia="zh-CN"/>
        </w:rPr>
        <w:t>5.</w:t>
      </w:r>
      <w:r>
        <w:rPr>
          <w:rFonts w:hint="default" w:ascii="Times New Roman" w:hAnsi="Times New Roman" w:eastAsia="仿宋_GB2312" w:cs="Times New Roman"/>
          <w:color w:val="0F1115"/>
          <w:sz w:val="32"/>
          <w:szCs w:val="32"/>
          <w:shd w:val="clear" w:fill="FFFFFF"/>
          <w:lang w:eastAsia="zh-CN"/>
        </w:rPr>
        <w:t>替补候选机制</w:t>
      </w:r>
    </w:p>
    <w:p w14:paraId="057745BA">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val="en-US" w:eastAsia="zh-CN"/>
        </w:rPr>
      </w:pPr>
      <w:r>
        <w:rPr>
          <w:rFonts w:hint="default" w:ascii="Times New Roman" w:hAnsi="Times New Roman" w:eastAsia="仿宋_GB2312" w:cs="Times New Roman"/>
          <w:color w:val="0F1115"/>
          <w:sz w:val="32"/>
          <w:szCs w:val="32"/>
          <w:shd w:val="clear" w:fill="FFFFFF"/>
          <w:lang w:eastAsia="zh-CN"/>
        </w:rPr>
        <w:t>中选方收到签约通知后10个工作日内，无正当理由拒绝签署正式合作协议，视作自动放弃合作资格。客运站可依次选取得分次高、且总分≥60分的意向方替补；无符合条件替补单位则重新组织招募。</w:t>
      </w:r>
    </w:p>
    <w:p w14:paraId="29917D04">
      <w:pPr>
        <w:pStyle w:val="4"/>
        <w:widowControl/>
        <w:spacing w:before="0" w:beforeAutospacing="0" w:after="0" w:afterAutospacing="0" w:line="560" w:lineRule="exact"/>
        <w:ind w:left="0" w:right="0" w:firstLine="640" w:firstLineChars="200"/>
        <w:jc w:val="both"/>
        <w:rPr>
          <w:rFonts w:hint="default" w:ascii="Times New Roman" w:hAnsi="Times New Roman" w:eastAsia="黑体" w:cs="Times New Roman"/>
          <w:b w:val="0"/>
          <w:bCs w:val="0"/>
          <w:sz w:val="32"/>
          <w:szCs w:val="32"/>
          <w:lang w:val="en-US"/>
        </w:rPr>
      </w:pPr>
      <w:r>
        <w:rPr>
          <w:rFonts w:hint="default" w:ascii="Times New Roman" w:hAnsi="Times New Roman" w:eastAsia="黑体" w:cs="Times New Roman"/>
          <w:b w:val="0"/>
          <w:bCs w:val="0"/>
          <w:sz w:val="32"/>
          <w:szCs w:val="32"/>
          <w:shd w:val="clear" w:fill="FFFFFF"/>
          <w:lang w:eastAsia="zh-CN"/>
        </w:rPr>
        <w:t>五、联系方式</w:t>
      </w:r>
    </w:p>
    <w:p w14:paraId="2F25ACDB">
      <w:pPr>
        <w:pStyle w:val="9"/>
        <w:keepNext w:val="0"/>
        <w:keepLines w:val="0"/>
        <w:widowControl/>
        <w:suppressLineNumbers w:val="0"/>
        <w:spacing w:line="560" w:lineRule="exact"/>
        <w:ind w:left="0" w:firstLine="643"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b/>
          <w:bCs/>
          <w:sz w:val="32"/>
          <w:szCs w:val="32"/>
          <w:shd w:val="clear" w:fill="FFFFFF"/>
          <w:lang w:eastAsia="zh-CN"/>
        </w:rPr>
        <w:t>联系人</w:t>
      </w:r>
      <w:r>
        <w:rPr>
          <w:rFonts w:hint="default" w:ascii="Times New Roman" w:hAnsi="Times New Roman" w:eastAsia="仿宋_GB2312" w:cs="Times New Roman"/>
          <w:sz w:val="32"/>
          <w:szCs w:val="32"/>
          <w:shd w:val="clear" w:fill="FFFFFF"/>
          <w:lang w:eastAsia="zh-CN"/>
        </w:rPr>
        <w:t>：</w:t>
      </w:r>
      <w:r>
        <w:rPr>
          <w:rFonts w:hint="default" w:ascii="Times New Roman" w:hAnsi="Times New Roman" w:eastAsia="仿宋_GB2312" w:cs="Times New Roman"/>
          <w:sz w:val="32"/>
          <w:szCs w:val="32"/>
          <w:shd w:val="clear" w:fill="FFFFFF"/>
          <w:lang w:val="en-US" w:eastAsia="zh-CN"/>
        </w:rPr>
        <w:t>汤</w:t>
      </w:r>
      <w:r>
        <w:rPr>
          <w:rFonts w:hint="default" w:ascii="Times New Roman" w:hAnsi="Times New Roman" w:eastAsia="仿宋_GB2312" w:cs="Times New Roman"/>
          <w:sz w:val="32"/>
          <w:szCs w:val="32"/>
          <w:shd w:val="clear" w:fill="FFFFFF"/>
          <w:lang w:eastAsia="zh-CN"/>
        </w:rPr>
        <w:t>先生</w:t>
      </w:r>
    </w:p>
    <w:p w14:paraId="3C802752">
      <w:pPr>
        <w:pStyle w:val="9"/>
        <w:keepNext w:val="0"/>
        <w:keepLines w:val="0"/>
        <w:widowControl/>
        <w:suppressLineNumbers w:val="0"/>
        <w:spacing w:line="560" w:lineRule="exact"/>
        <w:ind w:left="0" w:firstLine="643"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b/>
          <w:bCs/>
          <w:sz w:val="32"/>
          <w:szCs w:val="32"/>
          <w:shd w:val="clear" w:fill="FFFFFF"/>
          <w:lang w:eastAsia="zh-CN"/>
        </w:rPr>
        <w:t>联系电话</w:t>
      </w:r>
      <w:r>
        <w:rPr>
          <w:rFonts w:hint="default" w:ascii="Times New Roman" w:hAnsi="Times New Roman" w:eastAsia="仿宋_GB2312" w:cs="Times New Roman"/>
          <w:sz w:val="32"/>
          <w:szCs w:val="32"/>
          <w:shd w:val="clear" w:fill="FFFFFF"/>
          <w:lang w:eastAsia="zh-CN"/>
        </w:rPr>
        <w:t>：</w:t>
      </w:r>
      <w:r>
        <w:rPr>
          <w:rFonts w:hint="default" w:ascii="Times New Roman" w:hAnsi="Times New Roman" w:eastAsia="仿宋_GB2312" w:cs="Times New Roman"/>
          <w:sz w:val="32"/>
          <w:szCs w:val="32"/>
          <w:lang w:val="en-US" w:eastAsia="zh-CN"/>
        </w:rPr>
        <w:t>13620386912</w:t>
      </w:r>
    </w:p>
    <w:p w14:paraId="1EE26CD1">
      <w:pPr>
        <w:pStyle w:val="9"/>
        <w:keepNext w:val="0"/>
        <w:keepLines w:val="0"/>
        <w:widowControl/>
        <w:suppressLineNumbers w:val="0"/>
        <w:spacing w:line="560" w:lineRule="exact"/>
        <w:ind w:left="0" w:firstLine="643"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b/>
          <w:bCs/>
          <w:sz w:val="32"/>
          <w:szCs w:val="32"/>
          <w:shd w:val="clear" w:fill="FFFFFF"/>
          <w:lang w:eastAsia="zh-CN"/>
        </w:rPr>
        <w:t>联系地址</w:t>
      </w:r>
      <w:r>
        <w:rPr>
          <w:rFonts w:hint="default" w:ascii="Times New Roman" w:hAnsi="Times New Roman" w:eastAsia="仿宋_GB2312" w:cs="Times New Roman"/>
          <w:sz w:val="32"/>
          <w:szCs w:val="32"/>
          <w:shd w:val="clear" w:fill="FFFFFF"/>
          <w:lang w:eastAsia="zh-CN"/>
        </w:rPr>
        <w:t>：中山市</w:t>
      </w:r>
      <w:r>
        <w:rPr>
          <w:rFonts w:hint="default" w:ascii="Times New Roman" w:hAnsi="Times New Roman" w:eastAsia="仿宋_GB2312" w:cs="Times New Roman"/>
          <w:sz w:val="32"/>
          <w:szCs w:val="32"/>
          <w:shd w:val="clear" w:fill="FFFFFF"/>
          <w:lang w:val="en-US" w:eastAsia="zh-CN"/>
        </w:rPr>
        <w:t>西区富华道48号中山汽车总站</w:t>
      </w:r>
      <w:r>
        <w:rPr>
          <w:rFonts w:hint="default" w:ascii="Times New Roman" w:hAnsi="Times New Roman" w:eastAsia="仿宋_GB2312" w:cs="Times New Roman"/>
          <w:sz w:val="32"/>
          <w:szCs w:val="32"/>
          <w:shd w:val="clear" w:fill="FFFFFF"/>
          <w:lang w:eastAsia="zh-CN"/>
        </w:rPr>
        <w:t>，中山市</w:t>
      </w:r>
      <w:r>
        <w:rPr>
          <w:rFonts w:hint="default" w:ascii="Times New Roman" w:hAnsi="Times New Roman" w:eastAsia="仿宋_GB2312" w:cs="Times New Roman"/>
          <w:sz w:val="32"/>
          <w:szCs w:val="32"/>
          <w:shd w:val="clear" w:fill="FFFFFF"/>
          <w:lang w:val="en-US" w:eastAsia="zh-CN"/>
        </w:rPr>
        <w:t>城市汽车客运站</w:t>
      </w:r>
      <w:r>
        <w:rPr>
          <w:rFonts w:hint="default" w:ascii="Times New Roman" w:hAnsi="Times New Roman" w:eastAsia="仿宋_GB2312" w:cs="Times New Roman"/>
          <w:sz w:val="32"/>
          <w:szCs w:val="32"/>
          <w:shd w:val="clear" w:fill="FFFFFF"/>
          <w:lang w:eastAsia="zh-CN"/>
        </w:rPr>
        <w:t>有限公司</w:t>
      </w:r>
    </w:p>
    <w:p w14:paraId="60897509">
      <w:pPr>
        <w:pStyle w:val="9"/>
        <w:keepNext w:val="0"/>
        <w:keepLines w:val="0"/>
        <w:widowControl/>
        <w:suppressLineNumbers w:val="0"/>
        <w:spacing w:line="560" w:lineRule="exact"/>
        <w:ind w:left="0" w:firstLine="643" w:firstLineChars="200"/>
        <w:rPr>
          <w:rFonts w:hint="default" w:ascii="Times New Roman" w:hAnsi="Times New Roman" w:eastAsia="仿宋_GB2312" w:cs="Times New Roman"/>
          <w:sz w:val="32"/>
          <w:szCs w:val="32"/>
          <w:shd w:val="clear" w:fill="FFFFFF"/>
          <w:lang w:val="en-US" w:eastAsia="zh-CN"/>
        </w:rPr>
      </w:pPr>
      <w:r>
        <w:rPr>
          <w:rFonts w:hint="default" w:ascii="Times New Roman" w:hAnsi="Times New Roman" w:eastAsia="仿宋_GB2312" w:cs="Times New Roman"/>
          <w:b/>
          <w:bCs/>
          <w:sz w:val="32"/>
          <w:szCs w:val="32"/>
          <w:shd w:val="clear" w:fill="FFFFFF"/>
          <w:lang w:val="en-US" w:eastAsia="zh-CN"/>
        </w:rPr>
        <w:t>场地现场勘查：</w:t>
      </w:r>
      <w:r>
        <w:rPr>
          <w:rFonts w:hint="default" w:ascii="Times New Roman" w:hAnsi="Times New Roman" w:eastAsia="仿宋_GB2312" w:cs="Times New Roman"/>
          <w:sz w:val="32"/>
          <w:szCs w:val="32"/>
          <w:shd w:val="clear" w:fill="FFFFFF"/>
          <w:lang w:val="en-US" w:eastAsia="zh-CN"/>
        </w:rPr>
        <w:t>可提前电话预约实地看场</w:t>
      </w:r>
    </w:p>
    <w:p w14:paraId="6148A1B6">
      <w:pPr>
        <w:pStyle w:val="9"/>
        <w:widowControl/>
        <w:spacing w:line="560" w:lineRule="exact"/>
        <w:ind w:left="0" w:firstLine="643" w:firstLineChars="200"/>
        <w:rPr>
          <w:rFonts w:hint="default" w:ascii="Times New Roman" w:hAnsi="Times New Roman" w:eastAsia="仿宋_GB2312" w:cs="Times New Roman"/>
          <w:sz w:val="32"/>
          <w:szCs w:val="32"/>
          <w:shd w:val="clear" w:fill="FFFFFF"/>
          <w:lang w:val="en-US"/>
        </w:rPr>
      </w:pPr>
      <w:r>
        <w:rPr>
          <w:rFonts w:hint="default" w:ascii="Times New Roman" w:hAnsi="Times New Roman" w:eastAsia="仿宋_GB2312" w:cs="Times New Roman"/>
          <w:b/>
          <w:bCs/>
          <w:sz w:val="32"/>
          <w:szCs w:val="32"/>
          <w:shd w:val="clear" w:fill="FFFFFF"/>
          <w:lang w:eastAsia="zh-CN"/>
        </w:rPr>
        <w:t>咨询</w:t>
      </w:r>
      <w:r>
        <w:rPr>
          <w:rFonts w:hint="default" w:ascii="Times New Roman" w:hAnsi="Times New Roman" w:eastAsia="仿宋_GB2312" w:cs="Times New Roman"/>
          <w:b/>
          <w:bCs/>
          <w:sz w:val="32"/>
          <w:szCs w:val="32"/>
          <w:shd w:val="clear" w:fill="FFFFFF"/>
          <w:lang w:val="en-US" w:eastAsia="zh-CN"/>
        </w:rPr>
        <w:t>接待</w:t>
      </w:r>
      <w:r>
        <w:rPr>
          <w:rFonts w:hint="default" w:ascii="Times New Roman" w:hAnsi="Times New Roman" w:eastAsia="仿宋_GB2312" w:cs="Times New Roman"/>
          <w:b/>
          <w:bCs/>
          <w:sz w:val="32"/>
          <w:szCs w:val="32"/>
          <w:shd w:val="clear" w:fill="FFFFFF"/>
          <w:lang w:eastAsia="zh-CN"/>
        </w:rPr>
        <w:t>时间</w:t>
      </w:r>
      <w:r>
        <w:rPr>
          <w:rFonts w:hint="default" w:ascii="Times New Roman" w:hAnsi="Times New Roman" w:eastAsia="仿宋_GB2312" w:cs="Times New Roman"/>
          <w:sz w:val="32"/>
          <w:szCs w:val="32"/>
          <w:shd w:val="clear" w:fill="FFFFFF"/>
          <w:lang w:eastAsia="zh-CN"/>
        </w:rPr>
        <w:t>：周一至周五</w:t>
      </w:r>
      <w:r>
        <w:rPr>
          <w:rFonts w:hint="default" w:ascii="Times New Roman" w:hAnsi="Times New Roman" w:eastAsia="仿宋_GB2312" w:cs="Times New Roman"/>
          <w:sz w:val="32"/>
          <w:szCs w:val="32"/>
          <w:shd w:val="clear" w:fill="FFFFFF"/>
          <w:lang w:val="en-US"/>
        </w:rPr>
        <w:t>8:30-12:00</w:t>
      </w:r>
      <w:r>
        <w:rPr>
          <w:rFonts w:hint="default" w:ascii="Times New Roman" w:hAnsi="Times New Roman" w:eastAsia="仿宋_GB2312" w:cs="Times New Roman"/>
          <w:sz w:val="32"/>
          <w:szCs w:val="32"/>
          <w:shd w:val="clear" w:fill="FFFFFF"/>
          <w:lang w:eastAsia="zh-CN"/>
        </w:rPr>
        <w:t>、</w:t>
      </w:r>
      <w:r>
        <w:rPr>
          <w:rFonts w:hint="default" w:ascii="Times New Roman" w:hAnsi="Times New Roman" w:eastAsia="仿宋_GB2312" w:cs="Times New Roman"/>
          <w:sz w:val="32"/>
          <w:szCs w:val="32"/>
          <w:shd w:val="clear" w:fill="FFFFFF"/>
          <w:lang w:val="en-US"/>
        </w:rPr>
        <w:t>14:00-17:30</w:t>
      </w:r>
    </w:p>
    <w:p w14:paraId="03235CE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黑体" w:cs="Times New Roman"/>
          <w:b w:val="0"/>
          <w:bCs w:val="0"/>
          <w:sz w:val="32"/>
          <w:szCs w:val="32"/>
          <w:shd w:val="clear" w:fill="FFFFFF"/>
          <w:lang w:val="en-US"/>
        </w:rPr>
      </w:pPr>
      <w:r>
        <w:rPr>
          <w:rFonts w:hint="default" w:ascii="Times New Roman" w:hAnsi="Times New Roman" w:eastAsia="黑体" w:cs="Times New Roman"/>
          <w:b w:val="0"/>
          <w:bCs w:val="0"/>
          <w:kern w:val="2"/>
          <w:sz w:val="32"/>
          <w:szCs w:val="32"/>
          <w:shd w:val="clear" w:fill="FFFFFF"/>
          <w:lang w:val="en-US" w:eastAsia="zh-CN" w:bidi="ar"/>
        </w:rPr>
        <w:t>六、其他说明</w:t>
      </w:r>
    </w:p>
    <w:p w14:paraId="03893E5B">
      <w:pPr>
        <w:pStyle w:val="9"/>
        <w:widowControl/>
        <w:spacing w:line="560" w:lineRule="exact"/>
        <w:ind w:left="0" w:firstLine="640" w:firstLineChars="200"/>
        <w:jc w:val="both"/>
        <w:rPr>
          <w:rFonts w:hint="default" w:ascii="Times New Roman" w:hAnsi="Times New Roman" w:eastAsia="仿宋_GB2312" w:cs="Times New Roman"/>
          <w:sz w:val="32"/>
          <w:szCs w:val="32"/>
          <w:shd w:val="clear" w:fill="FFFFFF"/>
          <w:lang w:val="en-US" w:eastAsia="zh-CN"/>
        </w:rPr>
      </w:pPr>
      <w:r>
        <w:rPr>
          <w:rFonts w:hint="default" w:ascii="Times New Roman" w:hAnsi="Times New Roman" w:eastAsia="仿宋_GB2312" w:cs="Times New Roman"/>
          <w:sz w:val="32"/>
          <w:szCs w:val="32"/>
          <w:shd w:val="clear" w:fill="FFFFFF"/>
          <w:lang w:val="en-US" w:eastAsia="zh-CN"/>
        </w:rPr>
        <w:t>（一）本方案仅为合作意向招募文件，不构成具备法律约束力的正式合作要约；客运站公司可根据运营实际情况终止本次招募，无需对意向合作方承担任何违约赔偿责任；</w:t>
      </w:r>
    </w:p>
    <w:p w14:paraId="2D4D58B1">
      <w:pPr>
        <w:pStyle w:val="9"/>
        <w:widowControl/>
        <w:spacing w:line="560" w:lineRule="exact"/>
        <w:ind w:left="0" w:firstLine="640" w:firstLineChars="200"/>
        <w:jc w:val="both"/>
        <w:rPr>
          <w:rFonts w:hint="default" w:ascii="Times New Roman" w:hAnsi="Times New Roman" w:eastAsia="仿宋_GB2312" w:cs="Times New Roman"/>
          <w:sz w:val="32"/>
          <w:szCs w:val="32"/>
          <w:shd w:val="clear" w:fill="FFFFFF"/>
          <w:lang w:val="en-US" w:eastAsia="zh-CN"/>
        </w:rPr>
      </w:pPr>
      <w:r>
        <w:rPr>
          <w:rFonts w:hint="default" w:ascii="Times New Roman" w:hAnsi="Times New Roman" w:eastAsia="仿宋_GB2312" w:cs="Times New Roman"/>
          <w:sz w:val="32"/>
          <w:szCs w:val="32"/>
          <w:shd w:val="clear" w:fill="FFFFFF"/>
          <w:lang w:val="en-US" w:eastAsia="zh-CN"/>
        </w:rPr>
        <w:t>（二）评审中选结果仅作为合作意向排序依据，不产生正式合作效力；双方全部权利义务、合作细则以最终签署《联营合作协议》为准；</w:t>
      </w:r>
    </w:p>
    <w:p w14:paraId="22D7B5F3">
      <w:pPr>
        <w:pStyle w:val="9"/>
        <w:widowControl/>
        <w:spacing w:line="560" w:lineRule="exact"/>
        <w:ind w:left="0" w:firstLine="640" w:firstLineChars="200"/>
        <w:jc w:val="both"/>
        <w:rPr>
          <w:rFonts w:hint="default" w:ascii="Times New Roman" w:hAnsi="Times New Roman" w:eastAsia="仿宋_GB2312" w:cs="Times New Roman"/>
          <w:sz w:val="32"/>
          <w:szCs w:val="32"/>
          <w:shd w:val="clear" w:fill="FFFFFF"/>
          <w:lang w:val="en-US" w:eastAsia="zh-CN"/>
        </w:rPr>
      </w:pPr>
      <w:r>
        <w:rPr>
          <w:rFonts w:hint="default" w:ascii="Times New Roman" w:hAnsi="Times New Roman" w:eastAsia="仿宋_GB2312" w:cs="Times New Roman"/>
          <w:sz w:val="32"/>
          <w:szCs w:val="32"/>
          <w:shd w:val="clear" w:fill="FFFFFF"/>
          <w:lang w:val="en-US" w:eastAsia="zh-CN"/>
        </w:rPr>
        <w:t>（三）全部合作权责、执行细节均以双方盖章生效的正式合作协议文本为准；</w:t>
      </w:r>
    </w:p>
    <w:p w14:paraId="308B5B5B">
      <w:pPr>
        <w:pStyle w:val="9"/>
        <w:keepNext w:val="0"/>
        <w:keepLines w:val="0"/>
        <w:widowControl/>
        <w:suppressLineNumbers w:val="0"/>
        <w:spacing w:line="560" w:lineRule="exact"/>
        <w:ind w:left="0" w:firstLine="640" w:firstLineChars="200"/>
        <w:rPr>
          <w:rFonts w:hint="default" w:ascii="Times New Roman" w:hAnsi="Times New Roman" w:eastAsia="仿宋_GB2312" w:cs="Times New Roman"/>
          <w:color w:val="0F1115"/>
          <w:sz w:val="32"/>
          <w:szCs w:val="32"/>
          <w:shd w:val="clear" w:fill="FFFFFF"/>
          <w:lang w:val="en-US" w:eastAsia="zh-CN"/>
        </w:rPr>
      </w:pPr>
      <w:r>
        <w:rPr>
          <w:rFonts w:hint="default" w:ascii="Times New Roman" w:hAnsi="Times New Roman" w:eastAsia="仿宋_GB2312" w:cs="Times New Roman"/>
          <w:sz w:val="32"/>
          <w:szCs w:val="32"/>
          <w:shd w:val="clear" w:fill="FFFFFF"/>
          <w:lang w:val="en-US" w:eastAsia="zh-CN"/>
        </w:rPr>
        <w:t>（四）本方案最终解释权归中山市城市汽车客运站有限公司独家所有。</w:t>
      </w:r>
    </w:p>
    <w:p w14:paraId="680F601C">
      <w:pPr>
        <w:pStyle w:val="9"/>
        <w:keepNext w:val="0"/>
        <w:keepLines w:val="0"/>
        <w:widowControl/>
        <w:suppressLineNumbers w:val="0"/>
        <w:spacing w:line="560" w:lineRule="exact"/>
        <w:ind w:left="0" w:firstLine="640" w:firstLineChars="200"/>
        <w:rPr>
          <w:rFonts w:hint="eastAsia" w:ascii="仿宋_GB2312" w:hAnsi="仿宋_GB2312" w:eastAsia="仿宋_GB2312" w:cs="仿宋_GB2312"/>
          <w:color w:val="0F1115"/>
          <w:sz w:val="32"/>
          <w:szCs w:val="32"/>
          <w:shd w:val="clear" w:fill="FFFFFF"/>
          <w:lang w:val="en-US" w:eastAsia="zh-CN"/>
        </w:rPr>
      </w:pPr>
    </w:p>
    <w:p w14:paraId="0C22989F">
      <w:pPr>
        <w:pStyle w:val="9"/>
        <w:keepNext w:val="0"/>
        <w:keepLines w:val="0"/>
        <w:widowControl/>
        <w:suppressLineNumbers w:val="0"/>
        <w:spacing w:line="560" w:lineRule="exact"/>
        <w:ind w:left="0" w:firstLine="640" w:firstLineChars="200"/>
        <w:rPr>
          <w:rFonts w:hint="eastAsia" w:ascii="仿宋_GB2312" w:hAnsi="仿宋_GB2312" w:eastAsia="仿宋_GB2312" w:cs="仿宋_GB2312"/>
          <w:color w:val="0F1115"/>
          <w:sz w:val="32"/>
          <w:szCs w:val="32"/>
          <w:shd w:val="clear" w:fill="FFFFFF"/>
          <w:lang w:eastAsia="zh-CN"/>
        </w:rPr>
      </w:pPr>
    </w:p>
    <w:p w14:paraId="65EAED60">
      <w:pPr>
        <w:pStyle w:val="9"/>
        <w:keepNext w:val="0"/>
        <w:keepLines w:val="0"/>
        <w:widowControl/>
        <w:suppressLineNumbers w:val="0"/>
        <w:spacing w:line="560" w:lineRule="exact"/>
        <w:ind w:left="0" w:firstLine="640" w:firstLineChars="200"/>
        <w:jc w:val="right"/>
        <w:rPr>
          <w:rFonts w:hint="eastAsia" w:ascii="仿宋_GB2312" w:hAnsi="仿宋_GB2312" w:eastAsia="仿宋_GB2312" w:cs="仿宋_GB2312"/>
          <w:color w:val="0F1115"/>
          <w:sz w:val="32"/>
          <w:szCs w:val="32"/>
          <w:shd w:val="clear" w:fill="FFFFFF"/>
          <w:lang w:val="en-US" w:eastAsia="zh-CN"/>
        </w:rPr>
      </w:pPr>
      <w:r>
        <w:rPr>
          <w:rFonts w:hint="eastAsia" w:ascii="仿宋_GB2312" w:hAnsi="仿宋_GB2312" w:eastAsia="仿宋_GB2312" w:cs="仿宋_GB2312"/>
          <w:color w:val="0F1115"/>
          <w:sz w:val="32"/>
          <w:szCs w:val="32"/>
          <w:shd w:val="clear" w:fill="FFFFFF"/>
          <w:lang w:val="en-US" w:eastAsia="zh-CN"/>
        </w:rPr>
        <w:t>中山市城市汽车客运站有限公司</w:t>
      </w:r>
    </w:p>
    <w:p w14:paraId="00BC0646">
      <w:pPr>
        <w:pStyle w:val="9"/>
        <w:keepNext w:val="0"/>
        <w:keepLines w:val="0"/>
        <w:widowControl/>
        <w:suppressLineNumbers w:val="0"/>
        <w:spacing w:line="560" w:lineRule="exact"/>
        <w:ind w:left="0" w:firstLine="5440" w:firstLineChars="1700"/>
        <w:jc w:val="both"/>
        <w:rPr>
          <w:rFonts w:hint="default" w:ascii="Times New Roman" w:hAnsi="Times New Roman" w:eastAsia="仿宋_GB2312" w:cs="Times New Roman"/>
          <w:color w:val="0F1115"/>
          <w:sz w:val="32"/>
          <w:szCs w:val="32"/>
          <w:shd w:val="clear" w:fill="FFFFFF"/>
          <w:lang w:val="en-US" w:eastAsia="zh-CN"/>
        </w:rPr>
      </w:pPr>
      <w:r>
        <w:rPr>
          <w:rFonts w:hint="default" w:ascii="Times New Roman" w:hAnsi="Times New Roman" w:eastAsia="仿宋_GB2312" w:cs="Times New Roman"/>
          <w:color w:val="0F1115"/>
          <w:sz w:val="32"/>
          <w:szCs w:val="32"/>
          <w:shd w:val="clear" w:fill="FFFFFF"/>
          <w:lang w:val="en-US" w:eastAsia="zh-CN"/>
        </w:rPr>
        <w:t>2026年7月</w:t>
      </w:r>
      <w:r>
        <w:rPr>
          <w:rFonts w:hint="eastAsia" w:ascii="Times New Roman" w:hAnsi="Times New Roman" w:eastAsia="仿宋_GB2312" w:cs="Times New Roman"/>
          <w:color w:val="0F1115"/>
          <w:sz w:val="32"/>
          <w:szCs w:val="32"/>
          <w:shd w:val="clear" w:fill="FFFFFF"/>
          <w:lang w:val="en-US" w:eastAsia="zh-CN"/>
        </w:rPr>
        <w:t>21</w:t>
      </w:r>
      <w:r>
        <w:rPr>
          <w:rFonts w:hint="default" w:ascii="Times New Roman" w:hAnsi="Times New Roman" w:eastAsia="仿宋_GB2312" w:cs="Times New Roman"/>
          <w:color w:val="0F1115"/>
          <w:sz w:val="32"/>
          <w:szCs w:val="32"/>
          <w:shd w:val="clear" w:fill="FFFFFF"/>
          <w:lang w:val="en-US" w:eastAsia="zh-CN"/>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3A0F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7DA61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7DA61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hODZiYmU4N2FiMjhiMTlmMGM0YzdiMzVkODUyMTQifQ=="/>
  </w:docVars>
  <w:rsids>
    <w:rsidRoot w:val="1A9B41E6"/>
    <w:rsid w:val="00B378B0"/>
    <w:rsid w:val="00F9257D"/>
    <w:rsid w:val="00FC206D"/>
    <w:rsid w:val="01787946"/>
    <w:rsid w:val="02186A33"/>
    <w:rsid w:val="02E10BF1"/>
    <w:rsid w:val="05A051FF"/>
    <w:rsid w:val="062F5F70"/>
    <w:rsid w:val="069E0C11"/>
    <w:rsid w:val="06CA7195"/>
    <w:rsid w:val="087921F6"/>
    <w:rsid w:val="088C1F29"/>
    <w:rsid w:val="09254C0C"/>
    <w:rsid w:val="0AC0410C"/>
    <w:rsid w:val="0CB50187"/>
    <w:rsid w:val="0D8633EB"/>
    <w:rsid w:val="0DA916CD"/>
    <w:rsid w:val="0DEA4D6B"/>
    <w:rsid w:val="0E6F0323"/>
    <w:rsid w:val="0F7362C9"/>
    <w:rsid w:val="10AD0C8E"/>
    <w:rsid w:val="117F4BA3"/>
    <w:rsid w:val="12706417"/>
    <w:rsid w:val="13C7650B"/>
    <w:rsid w:val="14025795"/>
    <w:rsid w:val="14BA2238"/>
    <w:rsid w:val="162947E2"/>
    <w:rsid w:val="16FA7B74"/>
    <w:rsid w:val="1847208E"/>
    <w:rsid w:val="19E96131"/>
    <w:rsid w:val="1A06186A"/>
    <w:rsid w:val="1A9B41E6"/>
    <w:rsid w:val="1AE00026"/>
    <w:rsid w:val="1B6D6345"/>
    <w:rsid w:val="1C1442B7"/>
    <w:rsid w:val="1C9F7C45"/>
    <w:rsid w:val="1EFA3A95"/>
    <w:rsid w:val="1F333D6D"/>
    <w:rsid w:val="21452E71"/>
    <w:rsid w:val="218E0668"/>
    <w:rsid w:val="23333275"/>
    <w:rsid w:val="234E00AF"/>
    <w:rsid w:val="23A10B26"/>
    <w:rsid w:val="24912949"/>
    <w:rsid w:val="25D61AD8"/>
    <w:rsid w:val="274839CE"/>
    <w:rsid w:val="27676754"/>
    <w:rsid w:val="27DA284D"/>
    <w:rsid w:val="289742A6"/>
    <w:rsid w:val="290E2405"/>
    <w:rsid w:val="29120A5F"/>
    <w:rsid w:val="294D6FDA"/>
    <w:rsid w:val="29712D49"/>
    <w:rsid w:val="29DE206E"/>
    <w:rsid w:val="2A935054"/>
    <w:rsid w:val="2C792640"/>
    <w:rsid w:val="2F0A40D4"/>
    <w:rsid w:val="2F2B7B2B"/>
    <w:rsid w:val="2F3738F6"/>
    <w:rsid w:val="30743798"/>
    <w:rsid w:val="311C17EC"/>
    <w:rsid w:val="335D1297"/>
    <w:rsid w:val="34575386"/>
    <w:rsid w:val="35F64504"/>
    <w:rsid w:val="36107446"/>
    <w:rsid w:val="3BF21AC7"/>
    <w:rsid w:val="3C0F15E4"/>
    <w:rsid w:val="3CF25AF7"/>
    <w:rsid w:val="3D121CF5"/>
    <w:rsid w:val="3F1D25A4"/>
    <w:rsid w:val="3F931156"/>
    <w:rsid w:val="3FB769BE"/>
    <w:rsid w:val="40414DCB"/>
    <w:rsid w:val="40610FCA"/>
    <w:rsid w:val="40AC679D"/>
    <w:rsid w:val="422258CF"/>
    <w:rsid w:val="44615A3C"/>
    <w:rsid w:val="44B8108F"/>
    <w:rsid w:val="455021B2"/>
    <w:rsid w:val="46837A8A"/>
    <w:rsid w:val="46A460B4"/>
    <w:rsid w:val="46A81BB0"/>
    <w:rsid w:val="475C5334"/>
    <w:rsid w:val="49667651"/>
    <w:rsid w:val="4A4A0D21"/>
    <w:rsid w:val="4AD62F07"/>
    <w:rsid w:val="4BB35864"/>
    <w:rsid w:val="4BBA0FCE"/>
    <w:rsid w:val="4F813436"/>
    <w:rsid w:val="54504584"/>
    <w:rsid w:val="54843D43"/>
    <w:rsid w:val="548968E9"/>
    <w:rsid w:val="55172147"/>
    <w:rsid w:val="55EB2243"/>
    <w:rsid w:val="56617B1E"/>
    <w:rsid w:val="56AD2D63"/>
    <w:rsid w:val="57012D99"/>
    <w:rsid w:val="5750331F"/>
    <w:rsid w:val="59D05429"/>
    <w:rsid w:val="5A292433"/>
    <w:rsid w:val="5BC10AF3"/>
    <w:rsid w:val="5BDD7342"/>
    <w:rsid w:val="5D5D240C"/>
    <w:rsid w:val="5D83037A"/>
    <w:rsid w:val="5EAF58A6"/>
    <w:rsid w:val="5F2931A3"/>
    <w:rsid w:val="5F434264"/>
    <w:rsid w:val="5FE34539"/>
    <w:rsid w:val="60CC3F02"/>
    <w:rsid w:val="617D32F2"/>
    <w:rsid w:val="61AD72BF"/>
    <w:rsid w:val="62825C8F"/>
    <w:rsid w:val="63B91EF7"/>
    <w:rsid w:val="6440730A"/>
    <w:rsid w:val="6527567E"/>
    <w:rsid w:val="65D45C1E"/>
    <w:rsid w:val="66153EBF"/>
    <w:rsid w:val="66567D5C"/>
    <w:rsid w:val="672E75A8"/>
    <w:rsid w:val="67F52218"/>
    <w:rsid w:val="6A1D56B2"/>
    <w:rsid w:val="6A407AE5"/>
    <w:rsid w:val="6B47487C"/>
    <w:rsid w:val="6C1550E9"/>
    <w:rsid w:val="6D7573B8"/>
    <w:rsid w:val="6E295635"/>
    <w:rsid w:val="701A7F7B"/>
    <w:rsid w:val="71E76106"/>
    <w:rsid w:val="72C40DC1"/>
    <w:rsid w:val="759C09B9"/>
    <w:rsid w:val="75DE488F"/>
    <w:rsid w:val="76157B85"/>
    <w:rsid w:val="772A76EB"/>
    <w:rsid w:val="777A23E1"/>
    <w:rsid w:val="77A318EC"/>
    <w:rsid w:val="77B70EF4"/>
    <w:rsid w:val="77F54993"/>
    <w:rsid w:val="78DB39C6"/>
    <w:rsid w:val="78EC4632"/>
    <w:rsid w:val="79435AAA"/>
    <w:rsid w:val="79506E1F"/>
    <w:rsid w:val="79915775"/>
    <w:rsid w:val="7DF6029C"/>
    <w:rsid w:val="7E813419"/>
    <w:rsid w:val="7F8A3392"/>
    <w:rsid w:val="BFF549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3"/>
    <w:basedOn w:val="1"/>
    <w:next w:val="1"/>
    <w:link w:val="13"/>
    <w:semiHidden/>
    <w:unhideWhenUsed/>
    <w:qFormat/>
    <w:uiPriority w:val="0"/>
    <w:pPr>
      <w:keepNext w:val="0"/>
      <w:keepLines w:val="0"/>
      <w:widowControl w:val="0"/>
      <w:suppressLineNumbers w:val="0"/>
      <w:spacing w:before="0" w:beforeAutospacing="1" w:after="0" w:afterAutospacing="1"/>
      <w:ind w:left="0" w:right="0"/>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link w:val="12"/>
    <w:semiHidden/>
    <w:unhideWhenUsed/>
    <w:qFormat/>
    <w:uiPriority w:val="0"/>
    <w:pPr>
      <w:keepNext w:val="0"/>
      <w:keepLines w:val="0"/>
      <w:widowControl w:val="0"/>
      <w:suppressLineNumbers w:val="0"/>
      <w:spacing w:before="0" w:beforeAutospacing="1" w:after="0" w:afterAutospacing="1"/>
      <w:ind w:left="0" w:right="0"/>
      <w:jc w:val="left"/>
      <w:outlineLvl w:val="3"/>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table of authorities1"/>
    <w:next w:val="1"/>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character" w:customStyle="1" w:styleId="12">
    <w:name w:val="标题 4 Char"/>
    <w:basedOn w:val="11"/>
    <w:link w:val="5"/>
    <w:qFormat/>
    <w:uiPriority w:val="0"/>
    <w:rPr>
      <w:rFonts w:hint="eastAsia" w:ascii="宋体" w:hAnsi="宋体" w:eastAsia="宋体" w:cs="宋体"/>
      <w:b/>
      <w:bCs/>
      <w:sz w:val="24"/>
      <w:szCs w:val="24"/>
    </w:rPr>
  </w:style>
  <w:style w:type="character" w:customStyle="1" w:styleId="13">
    <w:name w:val="标题 3 Char"/>
    <w:basedOn w:val="11"/>
    <w:link w:val="4"/>
    <w:qFormat/>
    <w:uiPriority w:val="0"/>
    <w:rPr>
      <w:rFonts w:hint="eastAsia" w:ascii="宋体" w:hAnsi="宋体" w:eastAsia="宋体" w:cs="宋体"/>
      <w:b/>
      <w:bCs/>
      <w:sz w:val="27"/>
      <w:szCs w:val="2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502</Words>
  <Characters>503</Characters>
  <Lines>0</Lines>
  <Paragraphs>0</Paragraphs>
  <TotalTime>8</TotalTime>
  <ScaleCrop>false</ScaleCrop>
  <LinksUpToDate>false</LinksUpToDate>
  <CharactersWithSpaces>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2026-07-09T19:11:00Z</dcterms:created>
  <dc:creator>LZH</dc:creator>
  <cp:lastModifiedBy>LZH</cp:lastModifiedBy>
  <dcterms:modified xsi:type="dcterms:W3CDTF">2026-07-27T00:14:07Z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7F52BABD4CF3445A85C069ED60DB39F7_13</vt:lpwstr>
  </property>
  <property fmtid="{D5CDD505-2E9C-101B-9397-08002B2CF9AE}" pid="4" name="KSOTemplateDocerSaveRecord">
    <vt:lpwstr>eyJoZGlkIjoiZjY1ODFlNzVhYzFlMjc2NTZlZjZhMTM2NWI3ODk2NmIiLCJ1c2VySWQiOiI3MjIwMDk4NDYifQ==</vt:lpwstr>
  </property>
</Properties>
</file>