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8B3C6">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highlight w:val="none"/>
        </w:rPr>
      </w:pPr>
      <w:bookmarkStart w:id="0" w:name="_GoBack"/>
      <w:r>
        <w:rPr>
          <w:rFonts w:hint="eastAsia" w:asciiTheme="minorEastAsia" w:hAnsiTheme="minorEastAsia" w:eastAsiaTheme="minorEastAsia" w:cstheme="minorEastAsia"/>
          <w:b/>
          <w:sz w:val="44"/>
          <w:szCs w:val="44"/>
          <w:highlight w:val="none"/>
          <w:lang w:val="en-US" w:eastAsia="zh-CN"/>
        </w:rPr>
        <w:t>处置服务项目</w:t>
      </w:r>
      <w:r>
        <w:rPr>
          <w:rFonts w:hint="eastAsia" w:asciiTheme="minorEastAsia" w:hAnsiTheme="minorEastAsia" w:eastAsiaTheme="minorEastAsia" w:cstheme="minorEastAsia"/>
          <w:b/>
          <w:sz w:val="44"/>
          <w:szCs w:val="44"/>
          <w:highlight w:val="none"/>
        </w:rPr>
        <w:t>报价表</w:t>
      </w:r>
      <w:r>
        <w:rPr>
          <w:rFonts w:hint="eastAsia" w:asciiTheme="minorEastAsia" w:hAnsiTheme="minorEastAsia" w:eastAsiaTheme="minorEastAsia" w:cstheme="minorEastAsia"/>
          <w:b/>
          <w:sz w:val="44"/>
          <w:szCs w:val="44"/>
          <w:highlight w:val="none"/>
          <w:lang w:eastAsia="zh-CN"/>
        </w:rPr>
        <w:t>（</w:t>
      </w:r>
      <w:r>
        <w:rPr>
          <w:rFonts w:hint="eastAsia" w:asciiTheme="minorEastAsia" w:hAnsiTheme="minorEastAsia" w:eastAsiaTheme="minorEastAsia" w:cstheme="minorEastAsia"/>
          <w:b/>
          <w:sz w:val="44"/>
          <w:szCs w:val="44"/>
          <w:highlight w:val="none"/>
          <w:lang w:val="en-US" w:eastAsia="zh-CN"/>
        </w:rPr>
        <w:t>废旧物资）</w:t>
      </w:r>
    </w:p>
    <w:bookmarkEnd w:id="0"/>
    <w:p w14:paraId="36E800D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bCs/>
          <w:sz w:val="22"/>
          <w:szCs w:val="22"/>
          <w:highlight w:val="none"/>
          <w:lang w:val="en-US" w:eastAsia="zh-CN"/>
        </w:rPr>
      </w:pPr>
    </w:p>
    <w:p w14:paraId="4D42C5CA">
      <w:pPr>
        <w:ind w:left="1606" w:hanging="1606" w:hangingChars="500"/>
        <w:jc w:val="left"/>
        <w:rPr>
          <w:rFonts w:hint="eastAsia" w:asciiTheme="minorEastAsia" w:hAnsiTheme="minorEastAsia" w:eastAsiaTheme="minorEastAsia" w:cstheme="minorEastAsia"/>
          <w:b w:val="0"/>
          <w:bCs w:val="0"/>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项目名称：</w:t>
      </w:r>
      <w:r>
        <w:rPr>
          <w:rFonts w:hint="eastAsia" w:asciiTheme="minorEastAsia" w:hAnsiTheme="minorEastAsia" w:eastAsiaTheme="minorEastAsia" w:cstheme="minorEastAsia"/>
          <w:b w:val="0"/>
          <w:bCs w:val="0"/>
          <w:color w:val="auto"/>
          <w:sz w:val="32"/>
          <w:szCs w:val="32"/>
          <w:highlight w:val="none"/>
          <w:lang w:val="en-US" w:eastAsia="zh-CN"/>
        </w:rPr>
        <w:t>中山市公共交通运输集团有限公司危险废物及废旧物资处置服务项目</w:t>
      </w:r>
    </w:p>
    <w:tbl>
      <w:tblPr>
        <w:tblStyle w:val="5"/>
        <w:tblW w:w="8987" w:type="dxa"/>
        <w:tblInd w:w="-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778"/>
        <w:gridCol w:w="1209"/>
        <w:gridCol w:w="753"/>
        <w:gridCol w:w="885"/>
        <w:gridCol w:w="1070"/>
        <w:gridCol w:w="1290"/>
        <w:gridCol w:w="1113"/>
        <w:gridCol w:w="984"/>
      </w:tblGrid>
      <w:tr w14:paraId="6DD4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5" w:type="dxa"/>
            <w:noWrap w:val="0"/>
            <w:vAlign w:val="center"/>
          </w:tcPr>
          <w:p w14:paraId="53A466F9">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b w:val="0"/>
                <w:bCs w:val="0"/>
                <w:sz w:val="24"/>
                <w:szCs w:val="24"/>
                <w:highlight w:val="none"/>
                <w:vertAlign w:val="baseline"/>
                <w:lang w:val="en-US" w:eastAsia="zh-CN"/>
              </w:rPr>
            </w:pPr>
            <w:r>
              <w:rPr>
                <w:rFonts w:hint="eastAsia" w:asciiTheme="minorEastAsia" w:hAnsiTheme="minorEastAsia" w:eastAsiaTheme="minorEastAsia" w:cstheme="minorEastAsia"/>
                <w:b w:val="0"/>
                <w:bCs w:val="0"/>
                <w:sz w:val="24"/>
                <w:szCs w:val="24"/>
                <w:highlight w:val="none"/>
                <w:vertAlign w:val="baseline"/>
                <w:lang w:val="en-US" w:eastAsia="zh-CN"/>
              </w:rPr>
              <w:t>序号</w:t>
            </w:r>
          </w:p>
        </w:tc>
        <w:tc>
          <w:tcPr>
            <w:tcW w:w="778" w:type="dxa"/>
            <w:noWrap w:val="0"/>
            <w:vAlign w:val="center"/>
          </w:tcPr>
          <w:p w14:paraId="4C8D0037">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b w:val="0"/>
                <w:bCs w:val="0"/>
                <w:sz w:val="24"/>
                <w:szCs w:val="24"/>
                <w:highlight w:val="none"/>
                <w:vertAlign w:val="baseline"/>
                <w:lang w:val="en-US" w:eastAsia="zh-CN"/>
              </w:rPr>
            </w:pPr>
            <w:r>
              <w:rPr>
                <w:rFonts w:hint="eastAsia" w:asciiTheme="minorEastAsia" w:hAnsiTheme="minorEastAsia" w:eastAsiaTheme="minorEastAsia" w:cstheme="minorEastAsia"/>
                <w:b w:val="0"/>
                <w:bCs w:val="0"/>
                <w:sz w:val="24"/>
                <w:szCs w:val="24"/>
                <w:highlight w:val="none"/>
                <w:vertAlign w:val="baseline"/>
                <w:lang w:val="en-US" w:eastAsia="zh-CN"/>
              </w:rPr>
              <w:t>物资名称</w:t>
            </w:r>
          </w:p>
        </w:tc>
        <w:tc>
          <w:tcPr>
            <w:tcW w:w="1209" w:type="dxa"/>
            <w:noWrap w:val="0"/>
            <w:vAlign w:val="center"/>
          </w:tcPr>
          <w:p w14:paraId="3E12F7B6">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b w:val="0"/>
                <w:bCs w:val="0"/>
                <w:sz w:val="24"/>
                <w:szCs w:val="24"/>
                <w:highlight w:val="none"/>
                <w:vertAlign w:val="baseline"/>
                <w:lang w:val="en-US" w:eastAsia="zh-CN"/>
              </w:rPr>
            </w:pPr>
            <w:r>
              <w:rPr>
                <w:rFonts w:hint="eastAsia" w:asciiTheme="minorEastAsia" w:hAnsiTheme="minorEastAsia" w:eastAsiaTheme="minorEastAsia" w:cstheme="minorEastAsia"/>
                <w:b w:val="0"/>
                <w:bCs w:val="0"/>
                <w:sz w:val="24"/>
                <w:szCs w:val="24"/>
                <w:highlight w:val="none"/>
                <w:vertAlign w:val="baseline"/>
                <w:lang w:val="en-US" w:eastAsia="zh-CN"/>
              </w:rPr>
              <w:t>规格</w:t>
            </w:r>
          </w:p>
        </w:tc>
        <w:tc>
          <w:tcPr>
            <w:tcW w:w="753" w:type="dxa"/>
            <w:noWrap w:val="0"/>
            <w:vAlign w:val="center"/>
          </w:tcPr>
          <w:p w14:paraId="579BC941">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b w:val="0"/>
                <w:bCs w:val="0"/>
                <w:sz w:val="24"/>
                <w:szCs w:val="24"/>
                <w:highlight w:val="none"/>
                <w:vertAlign w:val="baseline"/>
                <w:lang w:val="en-US" w:eastAsia="zh-CN"/>
              </w:rPr>
            </w:pPr>
            <w:r>
              <w:rPr>
                <w:rFonts w:hint="eastAsia" w:asciiTheme="minorEastAsia" w:hAnsiTheme="minorEastAsia" w:eastAsiaTheme="minorEastAsia" w:cstheme="minorEastAsia"/>
                <w:b w:val="0"/>
                <w:bCs w:val="0"/>
                <w:sz w:val="24"/>
                <w:szCs w:val="24"/>
                <w:highlight w:val="none"/>
                <w:vertAlign w:val="baseline"/>
                <w:lang w:val="en-US" w:eastAsia="zh-CN"/>
              </w:rPr>
              <w:t>单位</w:t>
            </w:r>
          </w:p>
        </w:tc>
        <w:tc>
          <w:tcPr>
            <w:tcW w:w="885" w:type="dxa"/>
            <w:noWrap w:val="0"/>
            <w:vAlign w:val="center"/>
          </w:tcPr>
          <w:p w14:paraId="1A87F6A8">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b w:val="0"/>
                <w:bCs w:val="0"/>
                <w:sz w:val="24"/>
                <w:szCs w:val="24"/>
                <w:highlight w:val="none"/>
                <w:vertAlign w:val="baseline"/>
                <w:lang w:val="en-US" w:eastAsia="zh-CN"/>
              </w:rPr>
            </w:pPr>
            <w:r>
              <w:rPr>
                <w:rFonts w:hint="eastAsia" w:asciiTheme="minorEastAsia" w:hAnsiTheme="minorEastAsia" w:eastAsiaTheme="minorEastAsia" w:cstheme="minorEastAsia"/>
                <w:b w:val="0"/>
                <w:bCs w:val="0"/>
                <w:sz w:val="24"/>
                <w:szCs w:val="24"/>
                <w:highlight w:val="none"/>
                <w:vertAlign w:val="baseline"/>
                <w:lang w:val="en-US" w:eastAsia="zh-CN"/>
              </w:rPr>
              <w:t>计划处置数量</w:t>
            </w:r>
          </w:p>
        </w:tc>
        <w:tc>
          <w:tcPr>
            <w:tcW w:w="1070" w:type="dxa"/>
            <w:noWrap w:val="0"/>
            <w:vAlign w:val="center"/>
          </w:tcPr>
          <w:p w14:paraId="26E84607">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最低有效报价</w:t>
            </w:r>
          </w:p>
          <w:p w14:paraId="1428CF5A">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b w:val="0"/>
                <w:bCs w:val="0"/>
                <w:sz w:val="18"/>
                <w:szCs w:val="18"/>
                <w:highlight w:val="none"/>
                <w:vertAlign w:val="baseline"/>
                <w:lang w:val="en-US" w:eastAsia="zh-CN"/>
              </w:rPr>
            </w:pPr>
            <w:r>
              <w:rPr>
                <w:rFonts w:hint="eastAsia" w:asciiTheme="minorEastAsia" w:hAnsiTheme="minorEastAsia" w:eastAsiaTheme="minorEastAsia" w:cstheme="minorEastAsia"/>
                <w:b w:val="0"/>
                <w:bCs w:val="0"/>
                <w:sz w:val="18"/>
                <w:szCs w:val="18"/>
                <w:highlight w:val="none"/>
                <w:vertAlign w:val="baseline"/>
                <w:lang w:val="en-US" w:eastAsia="zh-CN"/>
              </w:rPr>
              <w:t>元/条</w:t>
            </w:r>
          </w:p>
          <w:p w14:paraId="324BF668">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b w:val="0"/>
                <w:bCs w:val="0"/>
                <w:sz w:val="18"/>
                <w:szCs w:val="18"/>
                <w:highlight w:val="none"/>
                <w:vertAlign w:val="baseline"/>
                <w:lang w:val="en-US" w:eastAsia="zh-CN"/>
              </w:rPr>
            </w:pPr>
            <w:r>
              <w:rPr>
                <w:rFonts w:hint="eastAsia" w:asciiTheme="minorEastAsia" w:hAnsiTheme="minorEastAsia" w:eastAsiaTheme="minorEastAsia" w:cstheme="minorEastAsia"/>
                <w:b w:val="0"/>
                <w:bCs w:val="0"/>
                <w:sz w:val="18"/>
                <w:szCs w:val="18"/>
                <w:highlight w:val="none"/>
                <w:vertAlign w:val="baseline"/>
                <w:lang w:val="en-US" w:eastAsia="zh-CN"/>
              </w:rPr>
              <w:t>元/吨</w:t>
            </w:r>
          </w:p>
        </w:tc>
        <w:tc>
          <w:tcPr>
            <w:tcW w:w="1290" w:type="dxa"/>
            <w:noWrap w:val="0"/>
            <w:vAlign w:val="center"/>
          </w:tcPr>
          <w:p w14:paraId="69685358">
            <w:pPr>
              <w:jc w:val="cente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回收处置服务单价</w:t>
            </w:r>
          </w:p>
          <w:p w14:paraId="5D13C1DE">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val="0"/>
                <w:bCs w:val="0"/>
                <w:sz w:val="20"/>
                <w:szCs w:val="20"/>
                <w:highlight w:val="none"/>
                <w:vertAlign w:val="baseline"/>
                <w:lang w:val="en-US" w:eastAsia="zh-CN"/>
              </w:rPr>
            </w:pPr>
            <w:r>
              <w:rPr>
                <w:rFonts w:hint="eastAsia" w:asciiTheme="minorEastAsia" w:hAnsiTheme="minorEastAsia" w:eastAsiaTheme="minorEastAsia" w:cstheme="minorEastAsia"/>
                <w:b w:val="0"/>
                <w:bCs w:val="0"/>
                <w:sz w:val="20"/>
                <w:szCs w:val="20"/>
                <w:highlight w:val="none"/>
                <w:vertAlign w:val="baseline"/>
                <w:lang w:val="en-US" w:eastAsia="zh-CN"/>
              </w:rPr>
              <w:t>元/条</w:t>
            </w:r>
          </w:p>
          <w:p w14:paraId="3000FE23">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b w:val="0"/>
                <w:bCs w:val="0"/>
                <w:sz w:val="24"/>
                <w:szCs w:val="24"/>
                <w:highlight w:val="none"/>
                <w:vertAlign w:val="baseline"/>
                <w:lang w:val="en-US" w:eastAsia="zh-CN"/>
              </w:rPr>
            </w:pPr>
            <w:r>
              <w:rPr>
                <w:rFonts w:hint="eastAsia" w:asciiTheme="minorEastAsia" w:hAnsiTheme="minorEastAsia" w:eastAsiaTheme="minorEastAsia" w:cstheme="minorEastAsia"/>
                <w:b w:val="0"/>
                <w:bCs w:val="0"/>
                <w:sz w:val="20"/>
                <w:szCs w:val="20"/>
                <w:highlight w:val="none"/>
                <w:vertAlign w:val="baseline"/>
                <w:lang w:val="en-US" w:eastAsia="zh-CN"/>
              </w:rPr>
              <w:t>元/吨</w:t>
            </w:r>
          </w:p>
        </w:tc>
        <w:tc>
          <w:tcPr>
            <w:tcW w:w="1113" w:type="dxa"/>
            <w:noWrap w:val="0"/>
            <w:vAlign w:val="center"/>
          </w:tcPr>
          <w:p w14:paraId="44437948">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b w:val="0"/>
                <w:bCs w:val="0"/>
                <w:sz w:val="24"/>
                <w:szCs w:val="24"/>
                <w:highlight w:val="none"/>
                <w:vertAlign w:val="baseline"/>
                <w:lang w:val="en-US" w:eastAsia="zh-CN"/>
              </w:rPr>
            </w:pPr>
            <w:r>
              <w:rPr>
                <w:rFonts w:hint="eastAsia" w:asciiTheme="minorEastAsia" w:hAnsiTheme="minorEastAsia" w:eastAsiaTheme="minorEastAsia" w:cstheme="minorEastAsia"/>
                <w:b w:val="0"/>
                <w:bCs w:val="0"/>
                <w:sz w:val="24"/>
                <w:szCs w:val="24"/>
                <w:highlight w:val="none"/>
                <w:vertAlign w:val="baseline"/>
                <w:lang w:val="en-US" w:eastAsia="zh-CN"/>
              </w:rPr>
              <w:t>总价（元）</w:t>
            </w:r>
          </w:p>
        </w:tc>
        <w:tc>
          <w:tcPr>
            <w:tcW w:w="984" w:type="dxa"/>
            <w:noWrap w:val="0"/>
            <w:vAlign w:val="center"/>
          </w:tcPr>
          <w:p w14:paraId="0579C4ED">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b w:val="0"/>
                <w:bCs w:val="0"/>
                <w:sz w:val="24"/>
                <w:szCs w:val="24"/>
                <w:highlight w:val="none"/>
                <w:vertAlign w:val="baseline"/>
                <w:lang w:val="en-US" w:eastAsia="zh-CN"/>
              </w:rPr>
            </w:pPr>
            <w:r>
              <w:rPr>
                <w:rFonts w:hint="eastAsia" w:asciiTheme="minorEastAsia" w:hAnsiTheme="minorEastAsia" w:eastAsiaTheme="minorEastAsia" w:cstheme="minorEastAsia"/>
                <w:b w:val="0"/>
                <w:bCs w:val="0"/>
                <w:sz w:val="24"/>
                <w:szCs w:val="24"/>
                <w:highlight w:val="none"/>
                <w:vertAlign w:val="baseline"/>
                <w:lang w:val="en-US" w:eastAsia="zh-CN"/>
              </w:rPr>
              <w:t>备注</w:t>
            </w:r>
          </w:p>
        </w:tc>
      </w:tr>
      <w:tr w14:paraId="7DAB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5" w:type="dxa"/>
            <w:vMerge w:val="restart"/>
            <w:noWrap w:val="0"/>
            <w:vAlign w:val="center"/>
          </w:tcPr>
          <w:p w14:paraId="023A0863">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w:t>
            </w:r>
          </w:p>
        </w:tc>
        <w:tc>
          <w:tcPr>
            <w:tcW w:w="778" w:type="dxa"/>
            <w:vMerge w:val="restart"/>
            <w:noWrap w:val="0"/>
            <w:vAlign w:val="center"/>
          </w:tcPr>
          <w:p w14:paraId="6D1822EB">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废旧轮胎</w:t>
            </w:r>
          </w:p>
        </w:tc>
        <w:tc>
          <w:tcPr>
            <w:tcW w:w="1209" w:type="dxa"/>
            <w:noWrap w:val="0"/>
            <w:vAlign w:val="center"/>
          </w:tcPr>
          <w:p w14:paraId="529DAE8D">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b w:val="0"/>
                <w:bCs w:val="0"/>
                <w:kern w:val="2"/>
                <w:sz w:val="24"/>
                <w:szCs w:val="24"/>
                <w:highlight w:val="none"/>
                <w:vertAlign w:val="baseline"/>
                <w:lang w:val="en-US" w:eastAsia="zh-CN" w:bidi="ar-SA"/>
              </w:rPr>
            </w:pPr>
            <w:r>
              <w:rPr>
                <w:rFonts w:hint="eastAsia" w:asciiTheme="minorEastAsia" w:hAnsiTheme="minorEastAsia" w:eastAsiaTheme="minorEastAsia" w:cstheme="minorEastAsia"/>
                <w:b w:val="0"/>
                <w:bCs w:val="0"/>
                <w:sz w:val="24"/>
                <w:szCs w:val="24"/>
                <w:highlight w:val="none"/>
                <w:vertAlign w:val="baseline"/>
                <w:lang w:val="en-US" w:eastAsia="zh-CN"/>
              </w:rPr>
              <w:t>215R19.5</w:t>
            </w:r>
          </w:p>
        </w:tc>
        <w:tc>
          <w:tcPr>
            <w:tcW w:w="753" w:type="dxa"/>
            <w:noWrap w:val="0"/>
            <w:vAlign w:val="center"/>
          </w:tcPr>
          <w:p w14:paraId="3551A91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条</w:t>
            </w:r>
          </w:p>
        </w:tc>
        <w:tc>
          <w:tcPr>
            <w:tcW w:w="885" w:type="dxa"/>
            <w:noWrap w:val="0"/>
            <w:vAlign w:val="center"/>
          </w:tcPr>
          <w:p w14:paraId="4BEB4466">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900</w:t>
            </w:r>
          </w:p>
        </w:tc>
        <w:tc>
          <w:tcPr>
            <w:tcW w:w="1070" w:type="dxa"/>
            <w:noWrap w:val="0"/>
            <w:vAlign w:val="center"/>
          </w:tcPr>
          <w:p w14:paraId="49AED587">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26</w:t>
            </w:r>
          </w:p>
        </w:tc>
        <w:tc>
          <w:tcPr>
            <w:tcW w:w="1290" w:type="dxa"/>
            <w:noWrap w:val="0"/>
            <w:vAlign w:val="center"/>
          </w:tcPr>
          <w:p w14:paraId="5641543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113" w:type="dxa"/>
            <w:noWrap w:val="0"/>
            <w:vAlign w:val="center"/>
          </w:tcPr>
          <w:p w14:paraId="4B92BB1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984" w:type="dxa"/>
            <w:vMerge w:val="restart"/>
            <w:noWrap w:val="0"/>
            <w:vAlign w:val="center"/>
          </w:tcPr>
          <w:p w14:paraId="1ADD64D7">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回收处置服务单价</w:t>
            </w:r>
            <w:r>
              <w:rPr>
                <w:rFonts w:hint="eastAsia" w:asciiTheme="minorEastAsia" w:hAnsiTheme="minorEastAsia" w:eastAsiaTheme="minorEastAsia" w:cstheme="minorEastAsia"/>
                <w:sz w:val="24"/>
                <w:szCs w:val="24"/>
                <w:highlight w:val="none"/>
                <w:vertAlign w:val="baseline"/>
                <w:lang w:val="en-US" w:eastAsia="zh-CN"/>
              </w:rPr>
              <w:t>不得低于</w:t>
            </w:r>
            <w:r>
              <w:rPr>
                <w:rFonts w:hint="eastAsia" w:asciiTheme="minorEastAsia" w:hAnsiTheme="minorEastAsia" w:eastAsiaTheme="minorEastAsia" w:cstheme="minorEastAsia"/>
                <w:b w:val="0"/>
                <w:bCs w:val="0"/>
                <w:color w:val="auto"/>
                <w:sz w:val="24"/>
                <w:szCs w:val="24"/>
                <w:highlight w:val="none"/>
                <w:lang w:val="en-US" w:eastAsia="zh-CN"/>
              </w:rPr>
              <w:t>最低有效报价</w:t>
            </w:r>
          </w:p>
          <w:p w14:paraId="29A7F113">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sz w:val="24"/>
                <w:szCs w:val="24"/>
                <w:highlight w:val="none"/>
                <w:vertAlign w:val="baseline"/>
                <w:lang w:val="en-US" w:eastAsia="zh-CN"/>
              </w:rPr>
            </w:pPr>
          </w:p>
        </w:tc>
      </w:tr>
      <w:tr w14:paraId="7229A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5" w:type="dxa"/>
            <w:vMerge w:val="continue"/>
            <w:noWrap w:val="0"/>
            <w:vAlign w:val="center"/>
          </w:tcPr>
          <w:p w14:paraId="63EB61A5">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778" w:type="dxa"/>
            <w:vMerge w:val="continue"/>
            <w:noWrap w:val="0"/>
            <w:vAlign w:val="center"/>
          </w:tcPr>
          <w:p w14:paraId="6A9185AD">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209" w:type="dxa"/>
            <w:noWrap w:val="0"/>
            <w:vAlign w:val="center"/>
          </w:tcPr>
          <w:p w14:paraId="32B5B89D">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b w:val="0"/>
                <w:bCs w:val="0"/>
                <w:kern w:val="2"/>
                <w:sz w:val="24"/>
                <w:szCs w:val="24"/>
                <w:highlight w:val="none"/>
                <w:vertAlign w:val="baseline"/>
                <w:lang w:val="en-US" w:eastAsia="zh-CN" w:bidi="ar-SA"/>
              </w:rPr>
            </w:pPr>
            <w:r>
              <w:rPr>
                <w:rFonts w:hint="eastAsia" w:asciiTheme="minorEastAsia" w:hAnsiTheme="minorEastAsia" w:eastAsiaTheme="minorEastAsia" w:cstheme="minorEastAsia"/>
                <w:b w:val="0"/>
                <w:bCs w:val="0"/>
                <w:sz w:val="24"/>
                <w:szCs w:val="24"/>
                <w:highlight w:val="none"/>
                <w:vertAlign w:val="baseline"/>
                <w:lang w:val="en-US" w:eastAsia="zh-CN"/>
              </w:rPr>
              <w:t>245R19.5</w:t>
            </w:r>
          </w:p>
        </w:tc>
        <w:tc>
          <w:tcPr>
            <w:tcW w:w="753" w:type="dxa"/>
            <w:noWrap w:val="0"/>
            <w:vAlign w:val="center"/>
          </w:tcPr>
          <w:p w14:paraId="2E35F84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条</w:t>
            </w:r>
          </w:p>
        </w:tc>
        <w:tc>
          <w:tcPr>
            <w:tcW w:w="885" w:type="dxa"/>
            <w:noWrap w:val="0"/>
            <w:vAlign w:val="center"/>
          </w:tcPr>
          <w:p w14:paraId="729462B3">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1350</w:t>
            </w:r>
          </w:p>
        </w:tc>
        <w:tc>
          <w:tcPr>
            <w:tcW w:w="1070" w:type="dxa"/>
            <w:noWrap w:val="0"/>
            <w:vAlign w:val="center"/>
          </w:tcPr>
          <w:p w14:paraId="555363A7">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43</w:t>
            </w:r>
          </w:p>
        </w:tc>
        <w:tc>
          <w:tcPr>
            <w:tcW w:w="1290" w:type="dxa"/>
            <w:noWrap w:val="0"/>
            <w:vAlign w:val="center"/>
          </w:tcPr>
          <w:p w14:paraId="5C8097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113" w:type="dxa"/>
            <w:noWrap w:val="0"/>
            <w:vAlign w:val="center"/>
          </w:tcPr>
          <w:p w14:paraId="61D52E3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984" w:type="dxa"/>
            <w:vMerge w:val="continue"/>
            <w:noWrap w:val="0"/>
            <w:vAlign w:val="center"/>
          </w:tcPr>
          <w:p w14:paraId="247A10CB">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sz w:val="21"/>
                <w:szCs w:val="21"/>
                <w:highlight w:val="none"/>
                <w:vertAlign w:val="baseline"/>
                <w:lang w:val="en-US" w:eastAsia="zh-CN"/>
              </w:rPr>
            </w:pPr>
          </w:p>
        </w:tc>
      </w:tr>
      <w:tr w14:paraId="6196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5" w:type="dxa"/>
            <w:vMerge w:val="continue"/>
            <w:noWrap w:val="0"/>
            <w:vAlign w:val="center"/>
          </w:tcPr>
          <w:p w14:paraId="0A76E062">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778" w:type="dxa"/>
            <w:vMerge w:val="continue"/>
            <w:noWrap w:val="0"/>
            <w:vAlign w:val="center"/>
          </w:tcPr>
          <w:p w14:paraId="2F9BC181">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209" w:type="dxa"/>
            <w:noWrap w:val="0"/>
            <w:vAlign w:val="center"/>
          </w:tcPr>
          <w:p w14:paraId="122B89B9">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b w:val="0"/>
                <w:bCs w:val="0"/>
                <w:kern w:val="2"/>
                <w:sz w:val="24"/>
                <w:szCs w:val="24"/>
                <w:highlight w:val="none"/>
                <w:vertAlign w:val="baseline"/>
                <w:lang w:val="en-US" w:eastAsia="zh-CN" w:bidi="ar-SA"/>
              </w:rPr>
            </w:pPr>
            <w:r>
              <w:rPr>
                <w:rFonts w:hint="eastAsia" w:asciiTheme="minorEastAsia" w:hAnsiTheme="minorEastAsia" w:eastAsiaTheme="minorEastAsia" w:cstheme="minorEastAsia"/>
                <w:b w:val="0"/>
                <w:bCs w:val="0"/>
                <w:sz w:val="24"/>
                <w:szCs w:val="24"/>
                <w:highlight w:val="none"/>
                <w:vertAlign w:val="baseline"/>
                <w:lang w:val="en-US" w:eastAsia="zh-CN"/>
              </w:rPr>
              <w:t>255R22.5</w:t>
            </w:r>
          </w:p>
        </w:tc>
        <w:tc>
          <w:tcPr>
            <w:tcW w:w="753" w:type="dxa"/>
            <w:noWrap w:val="0"/>
            <w:vAlign w:val="center"/>
          </w:tcPr>
          <w:p w14:paraId="7FB2BAD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条</w:t>
            </w:r>
          </w:p>
        </w:tc>
        <w:tc>
          <w:tcPr>
            <w:tcW w:w="885" w:type="dxa"/>
            <w:noWrap w:val="0"/>
            <w:vAlign w:val="center"/>
          </w:tcPr>
          <w:p w14:paraId="4749A628">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900</w:t>
            </w:r>
          </w:p>
        </w:tc>
        <w:tc>
          <w:tcPr>
            <w:tcW w:w="1070" w:type="dxa"/>
            <w:noWrap w:val="0"/>
            <w:vAlign w:val="center"/>
          </w:tcPr>
          <w:p w14:paraId="45E7E713">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50</w:t>
            </w:r>
          </w:p>
        </w:tc>
        <w:tc>
          <w:tcPr>
            <w:tcW w:w="1290" w:type="dxa"/>
            <w:noWrap w:val="0"/>
            <w:vAlign w:val="center"/>
          </w:tcPr>
          <w:p w14:paraId="51E1655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113" w:type="dxa"/>
            <w:noWrap w:val="0"/>
            <w:vAlign w:val="center"/>
          </w:tcPr>
          <w:p w14:paraId="155451F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984" w:type="dxa"/>
            <w:vMerge w:val="continue"/>
            <w:noWrap w:val="0"/>
            <w:vAlign w:val="center"/>
          </w:tcPr>
          <w:p w14:paraId="2CB67381">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sz w:val="21"/>
                <w:szCs w:val="21"/>
                <w:highlight w:val="none"/>
                <w:vertAlign w:val="baseline"/>
                <w:lang w:val="en-US" w:eastAsia="zh-CN"/>
              </w:rPr>
            </w:pPr>
          </w:p>
        </w:tc>
      </w:tr>
      <w:tr w14:paraId="0D10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5" w:type="dxa"/>
            <w:vMerge w:val="continue"/>
            <w:noWrap w:val="0"/>
            <w:vAlign w:val="center"/>
          </w:tcPr>
          <w:p w14:paraId="4F0E7175">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778" w:type="dxa"/>
            <w:vMerge w:val="continue"/>
            <w:noWrap w:val="0"/>
            <w:vAlign w:val="center"/>
          </w:tcPr>
          <w:p w14:paraId="3B60DC23">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209" w:type="dxa"/>
            <w:noWrap w:val="0"/>
            <w:vAlign w:val="center"/>
          </w:tcPr>
          <w:p w14:paraId="613E6E0D">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b w:val="0"/>
                <w:bCs w:val="0"/>
                <w:kern w:val="2"/>
                <w:sz w:val="24"/>
                <w:szCs w:val="24"/>
                <w:highlight w:val="none"/>
                <w:vertAlign w:val="baseline"/>
                <w:lang w:val="en-US" w:eastAsia="zh-CN" w:bidi="ar-SA"/>
              </w:rPr>
            </w:pPr>
            <w:r>
              <w:rPr>
                <w:rFonts w:hint="eastAsia" w:asciiTheme="minorEastAsia" w:hAnsiTheme="minorEastAsia" w:eastAsiaTheme="minorEastAsia" w:cstheme="minorEastAsia"/>
                <w:b w:val="0"/>
                <w:bCs w:val="0"/>
                <w:sz w:val="24"/>
                <w:szCs w:val="24"/>
                <w:highlight w:val="none"/>
                <w:vertAlign w:val="baseline"/>
                <w:lang w:val="en-US" w:eastAsia="zh-CN"/>
              </w:rPr>
              <w:t>265R22.5</w:t>
            </w:r>
          </w:p>
        </w:tc>
        <w:tc>
          <w:tcPr>
            <w:tcW w:w="753" w:type="dxa"/>
            <w:noWrap w:val="0"/>
            <w:vAlign w:val="center"/>
          </w:tcPr>
          <w:p w14:paraId="54CC343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条</w:t>
            </w:r>
          </w:p>
        </w:tc>
        <w:tc>
          <w:tcPr>
            <w:tcW w:w="885" w:type="dxa"/>
            <w:noWrap w:val="0"/>
            <w:vAlign w:val="center"/>
          </w:tcPr>
          <w:p w14:paraId="515C886A">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40</w:t>
            </w:r>
          </w:p>
        </w:tc>
        <w:tc>
          <w:tcPr>
            <w:tcW w:w="1070" w:type="dxa"/>
            <w:noWrap w:val="0"/>
            <w:vAlign w:val="center"/>
          </w:tcPr>
          <w:p w14:paraId="5B4E46ED">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50</w:t>
            </w:r>
          </w:p>
        </w:tc>
        <w:tc>
          <w:tcPr>
            <w:tcW w:w="1290" w:type="dxa"/>
            <w:noWrap w:val="0"/>
            <w:vAlign w:val="center"/>
          </w:tcPr>
          <w:p w14:paraId="68155B5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113" w:type="dxa"/>
            <w:noWrap w:val="0"/>
            <w:vAlign w:val="center"/>
          </w:tcPr>
          <w:p w14:paraId="12B3D2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984" w:type="dxa"/>
            <w:vMerge w:val="continue"/>
            <w:noWrap w:val="0"/>
            <w:vAlign w:val="center"/>
          </w:tcPr>
          <w:p w14:paraId="08C607E8">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sz w:val="21"/>
                <w:szCs w:val="21"/>
                <w:highlight w:val="none"/>
                <w:vertAlign w:val="baseline"/>
                <w:lang w:val="en-US" w:eastAsia="zh-CN"/>
              </w:rPr>
            </w:pPr>
          </w:p>
        </w:tc>
      </w:tr>
      <w:tr w14:paraId="4EBB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5" w:type="dxa"/>
            <w:vMerge w:val="continue"/>
            <w:noWrap w:val="0"/>
            <w:vAlign w:val="center"/>
          </w:tcPr>
          <w:p w14:paraId="5CCB7AC2">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778" w:type="dxa"/>
            <w:vMerge w:val="continue"/>
            <w:noWrap w:val="0"/>
            <w:vAlign w:val="center"/>
          </w:tcPr>
          <w:p w14:paraId="18A255DB">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209" w:type="dxa"/>
            <w:noWrap w:val="0"/>
            <w:vAlign w:val="center"/>
          </w:tcPr>
          <w:p w14:paraId="332F1C65">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b w:val="0"/>
                <w:bCs w:val="0"/>
                <w:kern w:val="2"/>
                <w:sz w:val="24"/>
                <w:szCs w:val="24"/>
                <w:highlight w:val="none"/>
                <w:vertAlign w:val="baseline"/>
                <w:lang w:val="en-US" w:eastAsia="zh-CN" w:bidi="ar-SA"/>
              </w:rPr>
            </w:pPr>
            <w:r>
              <w:rPr>
                <w:rFonts w:hint="eastAsia" w:asciiTheme="minorEastAsia" w:hAnsiTheme="minorEastAsia" w:eastAsiaTheme="minorEastAsia" w:cstheme="minorEastAsia"/>
                <w:b w:val="0"/>
                <w:bCs w:val="0"/>
                <w:sz w:val="24"/>
                <w:szCs w:val="24"/>
                <w:highlight w:val="none"/>
                <w:vertAlign w:val="baseline"/>
                <w:lang w:val="en-US" w:eastAsia="zh-CN"/>
              </w:rPr>
              <w:t>275R22.5</w:t>
            </w:r>
          </w:p>
        </w:tc>
        <w:tc>
          <w:tcPr>
            <w:tcW w:w="753" w:type="dxa"/>
            <w:noWrap w:val="0"/>
            <w:vAlign w:val="center"/>
          </w:tcPr>
          <w:p w14:paraId="6037270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条</w:t>
            </w:r>
          </w:p>
        </w:tc>
        <w:tc>
          <w:tcPr>
            <w:tcW w:w="885" w:type="dxa"/>
            <w:noWrap w:val="0"/>
            <w:vAlign w:val="center"/>
          </w:tcPr>
          <w:p w14:paraId="3C4B26D8">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1600</w:t>
            </w:r>
          </w:p>
        </w:tc>
        <w:tc>
          <w:tcPr>
            <w:tcW w:w="1070" w:type="dxa"/>
            <w:noWrap w:val="0"/>
            <w:vAlign w:val="center"/>
          </w:tcPr>
          <w:p w14:paraId="42752959">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71</w:t>
            </w:r>
          </w:p>
        </w:tc>
        <w:tc>
          <w:tcPr>
            <w:tcW w:w="1290" w:type="dxa"/>
            <w:noWrap w:val="0"/>
            <w:vAlign w:val="center"/>
          </w:tcPr>
          <w:p w14:paraId="4142394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113" w:type="dxa"/>
            <w:noWrap w:val="0"/>
            <w:vAlign w:val="center"/>
          </w:tcPr>
          <w:p w14:paraId="75D901E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984" w:type="dxa"/>
            <w:vMerge w:val="continue"/>
            <w:noWrap w:val="0"/>
            <w:vAlign w:val="center"/>
          </w:tcPr>
          <w:p w14:paraId="3062498F">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sz w:val="21"/>
                <w:szCs w:val="21"/>
                <w:highlight w:val="none"/>
                <w:vertAlign w:val="baseline"/>
                <w:lang w:val="en-US" w:eastAsia="zh-CN"/>
              </w:rPr>
            </w:pPr>
          </w:p>
        </w:tc>
      </w:tr>
      <w:tr w14:paraId="7A24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5" w:type="dxa"/>
            <w:vMerge w:val="continue"/>
            <w:noWrap w:val="0"/>
            <w:vAlign w:val="center"/>
          </w:tcPr>
          <w:p w14:paraId="306A1B31">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778" w:type="dxa"/>
            <w:vMerge w:val="continue"/>
            <w:noWrap w:val="0"/>
            <w:vAlign w:val="center"/>
          </w:tcPr>
          <w:p w14:paraId="0C222471">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209" w:type="dxa"/>
            <w:noWrap w:val="0"/>
            <w:vAlign w:val="center"/>
          </w:tcPr>
          <w:p w14:paraId="5F3DE096">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b w:val="0"/>
                <w:bCs w:val="0"/>
                <w:kern w:val="2"/>
                <w:sz w:val="24"/>
                <w:szCs w:val="24"/>
                <w:highlight w:val="none"/>
                <w:vertAlign w:val="baseline"/>
                <w:lang w:val="en-US" w:eastAsia="zh-CN" w:bidi="ar-SA"/>
              </w:rPr>
            </w:pPr>
            <w:r>
              <w:rPr>
                <w:rFonts w:hint="eastAsia" w:asciiTheme="minorEastAsia" w:hAnsiTheme="minorEastAsia" w:eastAsiaTheme="minorEastAsia" w:cstheme="minorEastAsia"/>
                <w:b w:val="0"/>
                <w:bCs w:val="0"/>
                <w:sz w:val="24"/>
                <w:szCs w:val="24"/>
                <w:highlight w:val="none"/>
                <w:vertAlign w:val="baseline"/>
                <w:lang w:val="en-US" w:eastAsia="zh-CN"/>
              </w:rPr>
              <w:t>295R22.5</w:t>
            </w:r>
          </w:p>
        </w:tc>
        <w:tc>
          <w:tcPr>
            <w:tcW w:w="753" w:type="dxa"/>
            <w:noWrap w:val="0"/>
            <w:vAlign w:val="center"/>
          </w:tcPr>
          <w:p w14:paraId="191D0BE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条</w:t>
            </w:r>
          </w:p>
        </w:tc>
        <w:tc>
          <w:tcPr>
            <w:tcW w:w="885" w:type="dxa"/>
            <w:noWrap w:val="0"/>
            <w:vAlign w:val="center"/>
          </w:tcPr>
          <w:p w14:paraId="566B09E1">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540</w:t>
            </w:r>
          </w:p>
        </w:tc>
        <w:tc>
          <w:tcPr>
            <w:tcW w:w="1070" w:type="dxa"/>
            <w:noWrap w:val="0"/>
            <w:vAlign w:val="center"/>
          </w:tcPr>
          <w:p w14:paraId="1CBC9DD1">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80</w:t>
            </w:r>
          </w:p>
        </w:tc>
        <w:tc>
          <w:tcPr>
            <w:tcW w:w="1290" w:type="dxa"/>
            <w:noWrap w:val="0"/>
            <w:vAlign w:val="center"/>
          </w:tcPr>
          <w:p w14:paraId="4DC5DC0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113" w:type="dxa"/>
            <w:noWrap w:val="0"/>
            <w:vAlign w:val="center"/>
          </w:tcPr>
          <w:p w14:paraId="4C88758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984" w:type="dxa"/>
            <w:vMerge w:val="continue"/>
            <w:noWrap w:val="0"/>
            <w:vAlign w:val="center"/>
          </w:tcPr>
          <w:p w14:paraId="11AB5E27">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sz w:val="21"/>
                <w:szCs w:val="21"/>
                <w:highlight w:val="none"/>
                <w:vertAlign w:val="baseline"/>
                <w:lang w:val="en-US" w:eastAsia="zh-CN"/>
              </w:rPr>
            </w:pPr>
          </w:p>
        </w:tc>
      </w:tr>
      <w:tr w14:paraId="5573C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5" w:type="dxa"/>
            <w:vMerge w:val="continue"/>
            <w:noWrap w:val="0"/>
            <w:vAlign w:val="center"/>
          </w:tcPr>
          <w:p w14:paraId="27ED0C72">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778" w:type="dxa"/>
            <w:vMerge w:val="continue"/>
            <w:noWrap w:val="0"/>
            <w:vAlign w:val="center"/>
          </w:tcPr>
          <w:p w14:paraId="535D8F0A">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209" w:type="dxa"/>
            <w:noWrap w:val="0"/>
            <w:vAlign w:val="center"/>
          </w:tcPr>
          <w:p w14:paraId="15BF40DE">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b w:val="0"/>
                <w:bCs w:val="0"/>
                <w:kern w:val="2"/>
                <w:sz w:val="24"/>
                <w:szCs w:val="24"/>
                <w:highlight w:val="none"/>
                <w:vertAlign w:val="baseline"/>
                <w:lang w:val="en-US" w:eastAsia="zh-CN" w:bidi="ar-SA"/>
              </w:rPr>
            </w:pPr>
            <w:r>
              <w:rPr>
                <w:rFonts w:hint="eastAsia" w:asciiTheme="minorEastAsia" w:hAnsiTheme="minorEastAsia" w:eastAsiaTheme="minorEastAsia" w:cstheme="minorEastAsia"/>
                <w:b w:val="0"/>
                <w:bCs w:val="0"/>
                <w:sz w:val="24"/>
                <w:szCs w:val="24"/>
                <w:highlight w:val="none"/>
                <w:vertAlign w:val="baseline"/>
                <w:lang w:val="en-US" w:eastAsia="zh-CN"/>
              </w:rPr>
              <w:t>11R22.5</w:t>
            </w:r>
          </w:p>
        </w:tc>
        <w:tc>
          <w:tcPr>
            <w:tcW w:w="753" w:type="dxa"/>
            <w:noWrap w:val="0"/>
            <w:vAlign w:val="center"/>
          </w:tcPr>
          <w:p w14:paraId="6D0CBDD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条</w:t>
            </w:r>
          </w:p>
        </w:tc>
        <w:tc>
          <w:tcPr>
            <w:tcW w:w="885" w:type="dxa"/>
            <w:noWrap w:val="0"/>
            <w:vAlign w:val="center"/>
          </w:tcPr>
          <w:p w14:paraId="1D977332">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70</w:t>
            </w:r>
          </w:p>
        </w:tc>
        <w:tc>
          <w:tcPr>
            <w:tcW w:w="1070" w:type="dxa"/>
            <w:noWrap w:val="0"/>
            <w:vAlign w:val="center"/>
          </w:tcPr>
          <w:p w14:paraId="71A438F2">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80</w:t>
            </w:r>
          </w:p>
        </w:tc>
        <w:tc>
          <w:tcPr>
            <w:tcW w:w="1290" w:type="dxa"/>
            <w:noWrap w:val="0"/>
            <w:vAlign w:val="center"/>
          </w:tcPr>
          <w:p w14:paraId="2E04D98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113" w:type="dxa"/>
            <w:noWrap w:val="0"/>
            <w:vAlign w:val="center"/>
          </w:tcPr>
          <w:p w14:paraId="3AF4AD1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984" w:type="dxa"/>
            <w:vMerge w:val="continue"/>
            <w:noWrap w:val="0"/>
            <w:vAlign w:val="center"/>
          </w:tcPr>
          <w:p w14:paraId="55BA62A8">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sz w:val="21"/>
                <w:szCs w:val="21"/>
                <w:highlight w:val="none"/>
                <w:vertAlign w:val="baseline"/>
                <w:lang w:val="en-US" w:eastAsia="zh-CN"/>
              </w:rPr>
            </w:pPr>
          </w:p>
        </w:tc>
      </w:tr>
      <w:tr w14:paraId="492B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5" w:type="dxa"/>
            <w:vMerge w:val="continue"/>
            <w:noWrap w:val="0"/>
            <w:vAlign w:val="center"/>
          </w:tcPr>
          <w:p w14:paraId="6AE3FB8C">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778" w:type="dxa"/>
            <w:vMerge w:val="continue"/>
            <w:noWrap w:val="0"/>
            <w:vAlign w:val="center"/>
          </w:tcPr>
          <w:p w14:paraId="29C6BA7C">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209" w:type="dxa"/>
            <w:noWrap w:val="0"/>
            <w:vAlign w:val="center"/>
          </w:tcPr>
          <w:p w14:paraId="3DB22E38">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b w:val="0"/>
                <w:bCs w:val="0"/>
                <w:kern w:val="2"/>
                <w:sz w:val="24"/>
                <w:szCs w:val="24"/>
                <w:highlight w:val="none"/>
                <w:vertAlign w:val="baseline"/>
                <w:lang w:val="en-US" w:eastAsia="zh-CN" w:bidi="ar-SA"/>
              </w:rPr>
            </w:pPr>
            <w:r>
              <w:rPr>
                <w:rFonts w:hint="eastAsia" w:asciiTheme="minorEastAsia" w:hAnsiTheme="minorEastAsia" w:eastAsiaTheme="minorEastAsia" w:cstheme="minorEastAsia"/>
                <w:b w:val="0"/>
                <w:bCs w:val="0"/>
                <w:sz w:val="24"/>
                <w:szCs w:val="24"/>
                <w:highlight w:val="none"/>
                <w:vertAlign w:val="baseline"/>
                <w:lang w:val="en-US" w:eastAsia="zh-CN"/>
              </w:rPr>
              <w:t>1200R20</w:t>
            </w:r>
          </w:p>
        </w:tc>
        <w:tc>
          <w:tcPr>
            <w:tcW w:w="753" w:type="dxa"/>
            <w:noWrap w:val="0"/>
            <w:vAlign w:val="center"/>
          </w:tcPr>
          <w:p w14:paraId="51EAEE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条</w:t>
            </w:r>
          </w:p>
        </w:tc>
        <w:tc>
          <w:tcPr>
            <w:tcW w:w="885" w:type="dxa"/>
            <w:noWrap w:val="0"/>
            <w:vAlign w:val="center"/>
          </w:tcPr>
          <w:p w14:paraId="57F18FF7">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w:t>
            </w:r>
          </w:p>
        </w:tc>
        <w:tc>
          <w:tcPr>
            <w:tcW w:w="1070" w:type="dxa"/>
            <w:noWrap w:val="0"/>
            <w:vAlign w:val="center"/>
          </w:tcPr>
          <w:p w14:paraId="19013AE3">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96</w:t>
            </w:r>
          </w:p>
        </w:tc>
        <w:tc>
          <w:tcPr>
            <w:tcW w:w="1290" w:type="dxa"/>
            <w:noWrap w:val="0"/>
            <w:vAlign w:val="center"/>
          </w:tcPr>
          <w:p w14:paraId="406B966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113" w:type="dxa"/>
            <w:noWrap w:val="0"/>
            <w:vAlign w:val="center"/>
          </w:tcPr>
          <w:p w14:paraId="2EBB90E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984" w:type="dxa"/>
            <w:vMerge w:val="continue"/>
            <w:noWrap w:val="0"/>
            <w:vAlign w:val="center"/>
          </w:tcPr>
          <w:p w14:paraId="6C6D2D8A">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sz w:val="21"/>
                <w:szCs w:val="21"/>
                <w:highlight w:val="none"/>
                <w:vertAlign w:val="baseline"/>
                <w:lang w:val="en-US" w:eastAsia="zh-CN"/>
              </w:rPr>
            </w:pPr>
          </w:p>
        </w:tc>
      </w:tr>
      <w:tr w14:paraId="66AA1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5" w:type="dxa"/>
            <w:vMerge w:val="restart"/>
            <w:noWrap w:val="0"/>
            <w:vAlign w:val="center"/>
          </w:tcPr>
          <w:p w14:paraId="6F857045">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2</w:t>
            </w:r>
          </w:p>
        </w:tc>
        <w:tc>
          <w:tcPr>
            <w:tcW w:w="778" w:type="dxa"/>
            <w:vMerge w:val="restart"/>
            <w:noWrap w:val="0"/>
            <w:vAlign w:val="center"/>
          </w:tcPr>
          <w:p w14:paraId="24C14611">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废旧金属</w:t>
            </w:r>
          </w:p>
        </w:tc>
        <w:tc>
          <w:tcPr>
            <w:tcW w:w="1209" w:type="dxa"/>
            <w:noWrap w:val="0"/>
            <w:vAlign w:val="center"/>
          </w:tcPr>
          <w:p w14:paraId="72A045AC">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b w:val="0"/>
                <w:bCs w:val="0"/>
                <w:sz w:val="24"/>
                <w:szCs w:val="24"/>
                <w:highlight w:val="none"/>
                <w:vertAlign w:val="baseline"/>
                <w:lang w:val="en-US" w:eastAsia="zh-CN"/>
              </w:rPr>
            </w:pPr>
            <w:r>
              <w:rPr>
                <w:rFonts w:hint="eastAsia" w:asciiTheme="minorEastAsia" w:hAnsiTheme="minorEastAsia" w:eastAsiaTheme="minorEastAsia" w:cstheme="minorEastAsia"/>
                <w:b w:val="0"/>
                <w:bCs w:val="0"/>
                <w:sz w:val="24"/>
                <w:szCs w:val="24"/>
                <w:highlight w:val="none"/>
                <w:vertAlign w:val="baseline"/>
                <w:lang w:val="en-US" w:eastAsia="zh-CN"/>
              </w:rPr>
              <w:t>废铁</w:t>
            </w:r>
          </w:p>
        </w:tc>
        <w:tc>
          <w:tcPr>
            <w:tcW w:w="753" w:type="dxa"/>
            <w:noWrap w:val="0"/>
            <w:vAlign w:val="center"/>
          </w:tcPr>
          <w:p w14:paraId="54695F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吨</w:t>
            </w:r>
          </w:p>
        </w:tc>
        <w:tc>
          <w:tcPr>
            <w:tcW w:w="885" w:type="dxa"/>
            <w:noWrap w:val="0"/>
            <w:vAlign w:val="center"/>
          </w:tcPr>
          <w:p w14:paraId="403D2670">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55</w:t>
            </w:r>
          </w:p>
        </w:tc>
        <w:tc>
          <w:tcPr>
            <w:tcW w:w="1070" w:type="dxa"/>
            <w:noWrap w:val="0"/>
            <w:vAlign w:val="center"/>
          </w:tcPr>
          <w:p w14:paraId="332A89AA">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2294</w:t>
            </w:r>
          </w:p>
        </w:tc>
        <w:tc>
          <w:tcPr>
            <w:tcW w:w="1290" w:type="dxa"/>
            <w:noWrap w:val="0"/>
            <w:vAlign w:val="center"/>
          </w:tcPr>
          <w:p w14:paraId="45B398F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113" w:type="dxa"/>
            <w:noWrap w:val="0"/>
            <w:vAlign w:val="center"/>
          </w:tcPr>
          <w:p w14:paraId="5A5D5E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984" w:type="dxa"/>
            <w:vMerge w:val="continue"/>
            <w:noWrap w:val="0"/>
            <w:vAlign w:val="center"/>
          </w:tcPr>
          <w:p w14:paraId="12F27FEC">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sz w:val="21"/>
                <w:szCs w:val="21"/>
                <w:highlight w:val="none"/>
                <w:vertAlign w:val="baseline"/>
                <w:lang w:val="en-US" w:eastAsia="zh-CN"/>
              </w:rPr>
            </w:pPr>
          </w:p>
        </w:tc>
      </w:tr>
      <w:tr w14:paraId="2F4F4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5" w:type="dxa"/>
            <w:vMerge w:val="continue"/>
            <w:noWrap w:val="0"/>
            <w:vAlign w:val="center"/>
          </w:tcPr>
          <w:p w14:paraId="241BD33B">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778" w:type="dxa"/>
            <w:vMerge w:val="continue"/>
            <w:noWrap w:val="0"/>
            <w:vAlign w:val="center"/>
          </w:tcPr>
          <w:p w14:paraId="0E43D197">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209" w:type="dxa"/>
            <w:noWrap w:val="0"/>
            <w:vAlign w:val="center"/>
          </w:tcPr>
          <w:p w14:paraId="764393F3">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b w:val="0"/>
                <w:bCs w:val="0"/>
                <w:sz w:val="24"/>
                <w:szCs w:val="24"/>
                <w:highlight w:val="none"/>
                <w:vertAlign w:val="baseline"/>
                <w:lang w:val="en-US" w:eastAsia="zh-CN"/>
              </w:rPr>
            </w:pPr>
            <w:r>
              <w:rPr>
                <w:rFonts w:hint="eastAsia" w:asciiTheme="minorEastAsia" w:hAnsiTheme="minorEastAsia" w:eastAsiaTheme="minorEastAsia" w:cstheme="minorEastAsia"/>
                <w:b w:val="0"/>
                <w:bCs w:val="0"/>
                <w:sz w:val="24"/>
                <w:szCs w:val="24"/>
                <w:highlight w:val="none"/>
                <w:vertAlign w:val="baseline"/>
                <w:lang w:val="en-US" w:eastAsia="zh-CN"/>
              </w:rPr>
              <w:t>废不锈钢</w:t>
            </w:r>
          </w:p>
        </w:tc>
        <w:tc>
          <w:tcPr>
            <w:tcW w:w="753" w:type="dxa"/>
            <w:noWrap w:val="0"/>
            <w:vAlign w:val="center"/>
          </w:tcPr>
          <w:p w14:paraId="1119DF3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吨</w:t>
            </w:r>
          </w:p>
        </w:tc>
        <w:tc>
          <w:tcPr>
            <w:tcW w:w="885" w:type="dxa"/>
            <w:noWrap w:val="0"/>
            <w:vAlign w:val="center"/>
          </w:tcPr>
          <w:p w14:paraId="03992CAB">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1070" w:type="dxa"/>
            <w:noWrap w:val="0"/>
            <w:vAlign w:val="center"/>
          </w:tcPr>
          <w:p w14:paraId="44BA2B5A">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4367</w:t>
            </w:r>
          </w:p>
        </w:tc>
        <w:tc>
          <w:tcPr>
            <w:tcW w:w="1290" w:type="dxa"/>
            <w:noWrap w:val="0"/>
            <w:vAlign w:val="center"/>
          </w:tcPr>
          <w:p w14:paraId="454BB04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113" w:type="dxa"/>
            <w:noWrap w:val="0"/>
            <w:vAlign w:val="center"/>
          </w:tcPr>
          <w:p w14:paraId="23119A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984" w:type="dxa"/>
            <w:vMerge w:val="continue"/>
            <w:noWrap w:val="0"/>
            <w:vAlign w:val="center"/>
          </w:tcPr>
          <w:p w14:paraId="1BCDF6C8">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sz w:val="21"/>
                <w:szCs w:val="21"/>
                <w:highlight w:val="none"/>
                <w:vertAlign w:val="baseline"/>
                <w:lang w:val="en-US" w:eastAsia="zh-CN"/>
              </w:rPr>
            </w:pPr>
          </w:p>
        </w:tc>
      </w:tr>
      <w:tr w14:paraId="4239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5" w:type="dxa"/>
            <w:vMerge w:val="continue"/>
            <w:noWrap w:val="0"/>
            <w:vAlign w:val="center"/>
          </w:tcPr>
          <w:p w14:paraId="5AD821D6">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778" w:type="dxa"/>
            <w:vMerge w:val="continue"/>
            <w:noWrap w:val="0"/>
            <w:vAlign w:val="center"/>
          </w:tcPr>
          <w:p w14:paraId="567C71C4">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sz w:val="24"/>
                <w:szCs w:val="24"/>
                <w:highlight w:val="none"/>
                <w:vertAlign w:val="baseline"/>
                <w:lang w:val="en-US" w:eastAsia="zh-CN"/>
              </w:rPr>
            </w:pPr>
          </w:p>
        </w:tc>
        <w:tc>
          <w:tcPr>
            <w:tcW w:w="1209" w:type="dxa"/>
            <w:noWrap w:val="0"/>
            <w:vAlign w:val="center"/>
          </w:tcPr>
          <w:p w14:paraId="177B952F">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b w:val="0"/>
                <w:bCs w:val="0"/>
                <w:sz w:val="24"/>
                <w:szCs w:val="24"/>
                <w:highlight w:val="none"/>
                <w:vertAlign w:val="baseline"/>
                <w:lang w:val="en-US" w:eastAsia="zh-CN"/>
              </w:rPr>
            </w:pPr>
            <w:r>
              <w:rPr>
                <w:rFonts w:hint="eastAsia" w:asciiTheme="minorEastAsia" w:hAnsiTheme="minorEastAsia" w:eastAsiaTheme="minorEastAsia" w:cstheme="minorEastAsia"/>
                <w:b w:val="0"/>
                <w:bCs w:val="0"/>
                <w:sz w:val="24"/>
                <w:szCs w:val="24"/>
                <w:highlight w:val="none"/>
                <w:vertAlign w:val="baseline"/>
                <w:lang w:val="en-US" w:eastAsia="zh-CN"/>
              </w:rPr>
              <w:t>废铝</w:t>
            </w:r>
          </w:p>
        </w:tc>
        <w:tc>
          <w:tcPr>
            <w:tcW w:w="753" w:type="dxa"/>
            <w:noWrap w:val="0"/>
            <w:vAlign w:val="center"/>
          </w:tcPr>
          <w:p w14:paraId="6E6A966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吨</w:t>
            </w:r>
          </w:p>
        </w:tc>
        <w:tc>
          <w:tcPr>
            <w:tcW w:w="885" w:type="dxa"/>
            <w:noWrap w:val="0"/>
            <w:vAlign w:val="center"/>
          </w:tcPr>
          <w:p w14:paraId="144D7C6F">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0.5</w:t>
            </w:r>
          </w:p>
        </w:tc>
        <w:tc>
          <w:tcPr>
            <w:tcW w:w="1070" w:type="dxa"/>
            <w:noWrap w:val="0"/>
            <w:vAlign w:val="center"/>
          </w:tcPr>
          <w:p w14:paraId="47C2D9FD">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14334</w:t>
            </w:r>
          </w:p>
        </w:tc>
        <w:tc>
          <w:tcPr>
            <w:tcW w:w="1290" w:type="dxa"/>
            <w:noWrap w:val="0"/>
            <w:vAlign w:val="center"/>
          </w:tcPr>
          <w:p w14:paraId="6F05BB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1113" w:type="dxa"/>
            <w:noWrap w:val="0"/>
            <w:vAlign w:val="center"/>
          </w:tcPr>
          <w:p w14:paraId="0ECEA8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984" w:type="dxa"/>
            <w:vMerge w:val="continue"/>
            <w:noWrap w:val="0"/>
            <w:vAlign w:val="center"/>
          </w:tcPr>
          <w:p w14:paraId="753765B1">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sz w:val="21"/>
                <w:szCs w:val="21"/>
                <w:highlight w:val="none"/>
                <w:vertAlign w:val="baseline"/>
                <w:lang w:val="en-US" w:eastAsia="zh-CN"/>
              </w:rPr>
            </w:pPr>
          </w:p>
        </w:tc>
      </w:tr>
      <w:tr w14:paraId="27C24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90" w:type="dxa"/>
            <w:gridSpan w:val="7"/>
            <w:noWrap w:val="0"/>
            <w:vAlign w:val="center"/>
          </w:tcPr>
          <w:p w14:paraId="57E1959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Theme="minorEastAsia" w:hAnsiTheme="minorEastAsia" w:eastAsiaTheme="minorEastAsia" w:cstheme="minorEastAsia"/>
                <w:b/>
                <w:bCs/>
                <w:sz w:val="24"/>
                <w:szCs w:val="24"/>
                <w:highlight w:val="none"/>
                <w:vertAlign w:val="baseline"/>
                <w:lang w:val="en-US" w:eastAsia="zh-CN"/>
              </w:rPr>
            </w:pPr>
            <w:r>
              <w:rPr>
                <w:rFonts w:hint="eastAsia" w:asciiTheme="minorEastAsia" w:hAnsiTheme="minorEastAsia" w:eastAsiaTheme="minorEastAsia" w:cstheme="minorEastAsia"/>
                <w:b/>
                <w:bCs/>
                <w:sz w:val="24"/>
                <w:szCs w:val="24"/>
                <w:highlight w:val="none"/>
                <w:vertAlign w:val="baseline"/>
                <w:lang w:val="en-US" w:eastAsia="zh-CN"/>
              </w:rPr>
              <w:t>合计</w:t>
            </w:r>
          </w:p>
        </w:tc>
        <w:tc>
          <w:tcPr>
            <w:tcW w:w="1113" w:type="dxa"/>
            <w:noWrap w:val="0"/>
            <w:vAlign w:val="center"/>
          </w:tcPr>
          <w:p w14:paraId="68FD41D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Theme="minorEastAsia" w:hAnsiTheme="minorEastAsia" w:eastAsiaTheme="minorEastAsia" w:cstheme="minorEastAsia"/>
                <w:sz w:val="24"/>
                <w:szCs w:val="24"/>
                <w:highlight w:val="none"/>
                <w:vertAlign w:val="baseline"/>
                <w:lang w:val="en-US" w:eastAsia="zh-CN"/>
              </w:rPr>
            </w:pPr>
          </w:p>
        </w:tc>
        <w:tc>
          <w:tcPr>
            <w:tcW w:w="984" w:type="dxa"/>
            <w:vMerge w:val="continue"/>
            <w:noWrap w:val="0"/>
            <w:vAlign w:val="center"/>
          </w:tcPr>
          <w:p w14:paraId="45D1392D">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sz w:val="21"/>
                <w:szCs w:val="21"/>
                <w:highlight w:val="none"/>
                <w:vertAlign w:val="baseline"/>
                <w:lang w:val="en-US" w:eastAsia="zh-CN"/>
              </w:rPr>
            </w:pPr>
          </w:p>
        </w:tc>
      </w:tr>
    </w:tbl>
    <w:p w14:paraId="5F09D809">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lang w:val="en-US" w:eastAsia="zh-CN"/>
        </w:rPr>
        <w:t>注：</w:t>
      </w:r>
      <w:r>
        <w:rPr>
          <w:rFonts w:hint="eastAsia" w:asciiTheme="minorEastAsia" w:hAnsiTheme="minorEastAsia" w:eastAsiaTheme="minorEastAsia" w:cstheme="minorEastAsia"/>
          <w:bCs/>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回收处置服务单价不得低于最低有效报价，报价应包含税费、打包费、装卸费、运输费、过磅费等费用，</w:t>
      </w:r>
      <w:r>
        <w:rPr>
          <w:rFonts w:hint="eastAsia" w:asciiTheme="minorEastAsia" w:hAnsiTheme="minorEastAsia" w:eastAsiaTheme="minorEastAsia" w:cstheme="minorEastAsia"/>
          <w:sz w:val="24"/>
          <w:szCs w:val="24"/>
          <w:highlight w:val="none"/>
          <w:lang w:val="en-US" w:eastAsia="zh-CN"/>
        </w:rPr>
        <w:t>未经我司书面同意，处置单位不得向我司额外收取其他费用</w:t>
      </w:r>
      <w:r>
        <w:rPr>
          <w:rFonts w:hint="eastAsia" w:asciiTheme="minorEastAsia" w:hAnsiTheme="minorEastAsia" w:eastAsiaTheme="minorEastAsia" w:cstheme="minorEastAsia"/>
          <w:bCs/>
          <w:sz w:val="24"/>
          <w:szCs w:val="24"/>
          <w:highlight w:val="none"/>
          <w:lang w:val="en-US" w:eastAsia="zh-CN"/>
        </w:rPr>
        <w:t>。</w:t>
      </w:r>
    </w:p>
    <w:p w14:paraId="30ECBBEF">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lang w:val="en-US" w:eastAsia="zh-CN"/>
        </w:rPr>
        <w:t>2</w:t>
      </w:r>
      <w:r>
        <w:rPr>
          <w:rFonts w:hint="eastAsia" w:asciiTheme="minorEastAsia" w:hAnsiTheme="minorEastAsia" w:eastAsiaTheme="minorEastAsia" w:cstheme="minorEastAsia"/>
          <w:bCs/>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需提供《中山市公共交通运输集团有限公司公开询价选取危险废物及废旧物资处置服务单位的通告》要求的资质文件、营业执照复印件，并加盖公章。</w:t>
      </w:r>
    </w:p>
    <w:p w14:paraId="4C1B0C0E">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lang w:val="en-US" w:eastAsia="zh-CN"/>
        </w:rPr>
        <w:t>3、本表参选价格自报名</w:t>
      </w:r>
      <w:r>
        <w:rPr>
          <w:rFonts w:hint="eastAsia" w:asciiTheme="minorEastAsia" w:hAnsiTheme="minorEastAsia" w:eastAsiaTheme="minorEastAsia" w:cstheme="minorEastAsia"/>
          <w:bCs/>
          <w:sz w:val="24"/>
          <w:szCs w:val="24"/>
          <w:highlight w:val="none"/>
        </w:rPr>
        <w:t>截止</w:t>
      </w:r>
      <w:r>
        <w:rPr>
          <w:rFonts w:hint="eastAsia" w:asciiTheme="minorEastAsia" w:hAnsiTheme="minorEastAsia" w:eastAsiaTheme="minorEastAsia" w:cstheme="minorEastAsia"/>
          <w:bCs/>
          <w:sz w:val="24"/>
          <w:szCs w:val="24"/>
          <w:highlight w:val="none"/>
          <w:lang w:val="en-US" w:eastAsia="zh-CN"/>
        </w:rPr>
        <w:t>之</w:t>
      </w:r>
      <w:r>
        <w:rPr>
          <w:rFonts w:hint="eastAsia" w:asciiTheme="minorEastAsia" w:hAnsiTheme="minorEastAsia" w:eastAsiaTheme="minorEastAsia" w:cstheme="minorEastAsia"/>
          <w:bCs/>
          <w:sz w:val="24"/>
          <w:szCs w:val="24"/>
          <w:highlight w:val="none"/>
        </w:rPr>
        <w:t>日后</w:t>
      </w:r>
      <w:r>
        <w:rPr>
          <w:rFonts w:hint="eastAsia" w:asciiTheme="minorEastAsia" w:hAnsiTheme="minorEastAsia" w:eastAsiaTheme="minorEastAsia" w:cstheme="minorEastAsia"/>
          <w:bCs/>
          <w:sz w:val="24"/>
          <w:szCs w:val="24"/>
          <w:highlight w:val="none"/>
          <w:lang w:val="en-US" w:eastAsia="zh-CN"/>
        </w:rPr>
        <w:t>60</w:t>
      </w:r>
      <w:r>
        <w:rPr>
          <w:rFonts w:hint="eastAsia" w:asciiTheme="minorEastAsia" w:hAnsiTheme="minorEastAsia" w:eastAsiaTheme="minorEastAsia" w:cstheme="minorEastAsia"/>
          <w:bCs/>
          <w:sz w:val="24"/>
          <w:szCs w:val="24"/>
          <w:highlight w:val="none"/>
        </w:rPr>
        <w:t>天内有效。</w:t>
      </w:r>
    </w:p>
    <w:p w14:paraId="6B7BADC1">
      <w:pPr>
        <w:keepNext w:val="0"/>
        <w:keepLines w:val="0"/>
        <w:pageBreakBefore w:val="0"/>
        <w:widowControl w:val="0"/>
        <w:kinsoku/>
        <w:wordWrap/>
        <w:overflowPunct/>
        <w:topLinePunct w:val="0"/>
        <w:autoSpaceDE/>
        <w:autoSpaceDN/>
        <w:bidi w:val="0"/>
        <w:spacing w:line="312" w:lineRule="auto"/>
        <w:textAlignment w:val="auto"/>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kern w:val="28"/>
          <w:sz w:val="24"/>
          <w:szCs w:val="24"/>
          <w:highlight w:val="none"/>
          <w:lang w:val="en-US" w:eastAsia="zh-CN"/>
        </w:rPr>
        <w:t>4、总价=</w:t>
      </w:r>
      <w:r>
        <w:rPr>
          <w:rFonts w:hint="eastAsia" w:asciiTheme="minorEastAsia" w:hAnsiTheme="minorEastAsia" w:eastAsiaTheme="minorEastAsia" w:cstheme="minorEastAsia"/>
          <w:b w:val="0"/>
          <w:bCs w:val="0"/>
          <w:sz w:val="24"/>
          <w:szCs w:val="24"/>
          <w:highlight w:val="none"/>
          <w:lang w:val="en-US" w:eastAsia="zh-CN"/>
        </w:rPr>
        <w:t>回收处置服务单价*</w:t>
      </w:r>
      <w:r>
        <w:rPr>
          <w:rFonts w:hint="eastAsia" w:asciiTheme="minorEastAsia" w:hAnsiTheme="minorEastAsia" w:eastAsiaTheme="minorEastAsia" w:cstheme="minorEastAsia"/>
          <w:sz w:val="24"/>
          <w:szCs w:val="24"/>
          <w:highlight w:val="none"/>
          <w:lang w:val="en-US" w:eastAsia="zh-CN"/>
        </w:rPr>
        <w:t>计划处置数量，若总价计算错误以单价为准。</w:t>
      </w:r>
    </w:p>
    <w:p w14:paraId="33F1E822">
      <w:pPr>
        <w:keepNext w:val="0"/>
        <w:keepLines w:val="0"/>
        <w:pageBreakBefore w:val="0"/>
        <w:kinsoku/>
        <w:wordWrap/>
        <w:overflowPunct/>
        <w:topLinePunct w:val="0"/>
        <w:bidi w:val="0"/>
        <w:adjustRightInd w:val="0"/>
        <w:snapToGrid w:val="0"/>
        <w:spacing w:line="560" w:lineRule="exact"/>
        <w:ind w:firstLine="3120" w:firstLineChars="13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lang w:val="en-US" w:eastAsia="zh-CN"/>
        </w:rPr>
        <w:t>参评单位</w:t>
      </w:r>
      <w:r>
        <w:rPr>
          <w:rFonts w:hint="eastAsia" w:asciiTheme="minorEastAsia" w:hAnsiTheme="minorEastAsia" w:eastAsiaTheme="minorEastAsia" w:cstheme="minorEastAsia"/>
          <w:bCs/>
          <w:sz w:val="24"/>
          <w:szCs w:val="24"/>
          <w:highlight w:val="none"/>
        </w:rPr>
        <w:t>（</w:t>
      </w:r>
      <w:r>
        <w:rPr>
          <w:rFonts w:hint="eastAsia" w:asciiTheme="minorEastAsia" w:hAnsiTheme="minorEastAsia" w:eastAsiaTheme="minorEastAsia" w:cstheme="minorEastAsia"/>
          <w:bCs/>
          <w:sz w:val="24"/>
          <w:szCs w:val="24"/>
          <w:highlight w:val="none"/>
          <w:lang w:val="en-US" w:eastAsia="zh-CN"/>
        </w:rPr>
        <w:t>盖</w:t>
      </w:r>
      <w:r>
        <w:rPr>
          <w:rFonts w:hint="eastAsia" w:asciiTheme="minorEastAsia" w:hAnsiTheme="minorEastAsia" w:eastAsiaTheme="minorEastAsia" w:cstheme="minorEastAsia"/>
          <w:bCs/>
          <w:sz w:val="24"/>
          <w:szCs w:val="24"/>
          <w:highlight w:val="none"/>
        </w:rPr>
        <w:t xml:space="preserve">章）：         </w:t>
      </w:r>
    </w:p>
    <w:p w14:paraId="5E07407D">
      <w:pPr>
        <w:keepNext w:val="0"/>
        <w:keepLines w:val="0"/>
        <w:pageBreakBefore w:val="0"/>
        <w:kinsoku/>
        <w:wordWrap/>
        <w:overflowPunct/>
        <w:topLinePunct w:val="0"/>
        <w:bidi w:val="0"/>
        <w:adjustRightInd w:val="0"/>
        <w:snapToGrid w:val="0"/>
        <w:spacing w:line="560" w:lineRule="exact"/>
        <w:ind w:firstLine="3120" w:firstLineChars="13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lang w:val="en-US" w:eastAsia="zh-CN"/>
        </w:rPr>
        <w:t>被</w:t>
      </w:r>
      <w:r>
        <w:rPr>
          <w:rFonts w:hint="eastAsia" w:asciiTheme="minorEastAsia" w:hAnsiTheme="minorEastAsia" w:eastAsiaTheme="minorEastAsia" w:cstheme="minorEastAsia"/>
          <w:bCs/>
          <w:sz w:val="24"/>
          <w:szCs w:val="24"/>
          <w:highlight w:val="none"/>
        </w:rPr>
        <w:t>授权代表（签字）：</w:t>
      </w:r>
    </w:p>
    <w:p w14:paraId="1AB17E61">
      <w:pPr>
        <w:keepNext w:val="0"/>
        <w:keepLines w:val="0"/>
        <w:pageBreakBefore w:val="0"/>
        <w:kinsoku/>
        <w:wordWrap/>
        <w:overflowPunct/>
        <w:topLinePunct w:val="0"/>
        <w:bidi w:val="0"/>
        <w:adjustRightInd w:val="0"/>
        <w:snapToGrid w:val="0"/>
        <w:spacing w:line="560" w:lineRule="exact"/>
        <w:ind w:firstLine="3120" w:firstLineChars="13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lang w:val="en-US" w:eastAsia="zh-CN"/>
        </w:rPr>
        <w:t>联系电话：</w:t>
      </w:r>
      <w:r>
        <w:rPr>
          <w:rFonts w:hint="eastAsia" w:asciiTheme="minorEastAsia" w:hAnsiTheme="minorEastAsia" w:eastAsiaTheme="minorEastAsia" w:cstheme="minorEastAsia"/>
          <w:bCs/>
          <w:sz w:val="24"/>
          <w:szCs w:val="24"/>
          <w:highlight w:val="none"/>
        </w:rPr>
        <w:t xml:space="preserve">           </w:t>
      </w:r>
    </w:p>
    <w:p w14:paraId="46C5C7E1">
      <w:pPr>
        <w:keepNext w:val="0"/>
        <w:keepLines w:val="0"/>
        <w:pageBreakBefore w:val="0"/>
        <w:kinsoku/>
        <w:wordWrap/>
        <w:overflowPunct/>
        <w:topLinePunct w:val="0"/>
        <w:bidi w:val="0"/>
        <w:adjustRightInd w:val="0"/>
        <w:snapToGrid w:val="0"/>
        <w:spacing w:line="560" w:lineRule="exact"/>
        <w:ind w:firstLine="3120" w:firstLineChars="1300"/>
      </w:pPr>
      <w:r>
        <w:rPr>
          <w:rFonts w:hint="eastAsia" w:asciiTheme="minorEastAsia" w:hAnsiTheme="minorEastAsia" w:eastAsiaTheme="minorEastAsia" w:cstheme="minorEastAsia"/>
          <w:bCs/>
          <w:sz w:val="24"/>
          <w:szCs w:val="24"/>
          <w:highlight w:val="none"/>
        </w:rPr>
        <w:t>日期：</w:t>
      </w:r>
    </w:p>
    <w:sectPr>
      <w:headerReference r:id="rId3" w:type="default"/>
      <w:footerReference r:id="rId4" w:type="default"/>
      <w:pgSz w:w="11907" w:h="16840"/>
      <w:pgMar w:top="1440" w:right="1803" w:bottom="1440" w:left="1803" w:header="624"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AA7A9">
    <w:pPr>
      <w:pStyle w:val="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2274EC">
                          <w:pPr>
                            <w:pStyle w:val="2"/>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512274EC">
                    <w:pPr>
                      <w:pStyle w:val="2"/>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p w14:paraId="28F3D6BA">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B2979">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5C0252"/>
    <w:rsid w:val="0D5C0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2026-05-11T01:12:00Z</dcterms:created>
  <dc:creator>粤语CV-Gordon哥哥</dc:creator>
  <cp:lastModifiedBy>粤语CV-Gordon哥哥</cp:lastModifiedBy>
  <dcterms:modified xsi:type="dcterms:W3CDTF">2026-05-11T01:12:27Z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781045C989BE45BDB5C0C3E36AF1FABF_11</vt:lpwstr>
  </property>
  <property fmtid="{D5CDD505-2E9C-101B-9397-08002B2CF9AE}" pid="4" name="KSOTemplateDocerSaveRecord">
    <vt:lpwstr>eyJoZGlkIjoiZTdmZTU0Mjc3MTE1MDNhNWM2MDM2YzZkYzEyYThhNzciLCJ1c2VySWQiOiI0MjAxNDk0NTQifQ==</vt:lpwstr>
  </property>
</Properties>
</file>