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DD621">
      <w:pPr>
        <w:keepNext w:val="0"/>
        <w:keepLines w:val="0"/>
        <w:pageBreakBefore w:val="0"/>
        <w:widowControl w:val="0"/>
        <w:tabs>
          <w:tab w:val="left" w:pos="900"/>
        </w:tabs>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b w:val="0"/>
          <w:bCs/>
          <w:sz w:val="32"/>
          <w:szCs w:val="32"/>
          <w:highlight w:val="none"/>
          <w:lang w:val="en-US" w:eastAsia="zh-CN"/>
        </w:rPr>
      </w:pPr>
      <w:r>
        <w:rPr>
          <w:rFonts w:hint="eastAsia" w:asciiTheme="minorEastAsia" w:hAnsiTheme="minorEastAsia" w:eastAsiaTheme="minorEastAsia" w:cstheme="minorEastAsia"/>
          <w:b w:val="0"/>
          <w:bCs/>
          <w:sz w:val="32"/>
          <w:szCs w:val="32"/>
          <w:highlight w:val="none"/>
          <w:lang w:val="en-US" w:eastAsia="zh-CN"/>
        </w:rPr>
        <w:t>附件</w:t>
      </w:r>
    </w:p>
    <w:p w14:paraId="04AD935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highlight w:val="none"/>
        </w:rPr>
      </w:pPr>
      <w:bookmarkStart w:id="0" w:name="_GoBack"/>
      <w:r>
        <w:rPr>
          <w:rFonts w:hint="eastAsia" w:asciiTheme="minorEastAsia" w:hAnsiTheme="minorEastAsia" w:eastAsiaTheme="minorEastAsia" w:cstheme="minorEastAsia"/>
          <w:b/>
          <w:sz w:val="44"/>
          <w:szCs w:val="44"/>
          <w:highlight w:val="none"/>
          <w:lang w:val="en-US" w:eastAsia="zh-CN"/>
        </w:rPr>
        <w:t>处置服务项目</w:t>
      </w:r>
      <w:r>
        <w:rPr>
          <w:rFonts w:hint="eastAsia" w:asciiTheme="minorEastAsia" w:hAnsiTheme="minorEastAsia" w:eastAsiaTheme="minorEastAsia" w:cstheme="minorEastAsia"/>
          <w:b/>
          <w:sz w:val="44"/>
          <w:szCs w:val="44"/>
          <w:highlight w:val="none"/>
        </w:rPr>
        <w:t>报价表</w:t>
      </w:r>
      <w:r>
        <w:rPr>
          <w:rFonts w:hint="eastAsia" w:asciiTheme="minorEastAsia" w:hAnsiTheme="minorEastAsia" w:eastAsiaTheme="minorEastAsia" w:cstheme="minorEastAsia"/>
          <w:b/>
          <w:sz w:val="44"/>
          <w:szCs w:val="44"/>
          <w:highlight w:val="none"/>
          <w:lang w:eastAsia="zh-CN"/>
        </w:rPr>
        <w:t>（</w:t>
      </w:r>
      <w:r>
        <w:rPr>
          <w:rFonts w:hint="eastAsia" w:asciiTheme="minorEastAsia" w:hAnsiTheme="minorEastAsia" w:eastAsiaTheme="minorEastAsia" w:cstheme="minorEastAsia"/>
          <w:b/>
          <w:sz w:val="44"/>
          <w:szCs w:val="44"/>
          <w:highlight w:val="none"/>
          <w:lang w:val="en-US" w:eastAsia="zh-CN"/>
        </w:rPr>
        <w:t>废矿物油）</w:t>
      </w:r>
    </w:p>
    <w:bookmarkEnd w:id="0"/>
    <w:p w14:paraId="287D311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bCs/>
          <w:sz w:val="22"/>
          <w:szCs w:val="22"/>
          <w:highlight w:val="none"/>
          <w:lang w:val="en-US" w:eastAsia="zh-CN"/>
        </w:rPr>
      </w:pPr>
    </w:p>
    <w:p w14:paraId="17620798">
      <w:pPr>
        <w:ind w:left="1606" w:hanging="1606" w:hangingChars="500"/>
        <w:jc w:val="left"/>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项目名称：</w:t>
      </w:r>
      <w:r>
        <w:rPr>
          <w:rFonts w:hint="eastAsia" w:asciiTheme="minorEastAsia" w:hAnsiTheme="minorEastAsia" w:eastAsiaTheme="minorEastAsia" w:cstheme="minorEastAsia"/>
          <w:b w:val="0"/>
          <w:bCs w:val="0"/>
          <w:color w:val="auto"/>
          <w:sz w:val="32"/>
          <w:szCs w:val="32"/>
          <w:highlight w:val="none"/>
          <w:lang w:val="en-US" w:eastAsia="zh-CN"/>
        </w:rPr>
        <w:t>中山市公共交通运输集团有限公司危险废物</w:t>
      </w:r>
      <w:r>
        <w:rPr>
          <w:rFonts w:hint="eastAsia" w:asciiTheme="minorEastAsia" w:hAnsiTheme="minorEastAsia" w:eastAsiaTheme="minorEastAsia" w:cstheme="minorEastAsia"/>
          <w:b w:val="0"/>
          <w:bCs w:val="0"/>
          <w:color w:val="auto"/>
          <w:sz w:val="30"/>
          <w:szCs w:val="30"/>
          <w:highlight w:val="none"/>
          <w:lang w:val="en-US" w:eastAsia="zh-CN"/>
        </w:rPr>
        <w:t>及废旧物资</w:t>
      </w:r>
      <w:r>
        <w:rPr>
          <w:rFonts w:hint="eastAsia" w:asciiTheme="minorEastAsia" w:hAnsiTheme="minorEastAsia" w:eastAsiaTheme="minorEastAsia" w:cstheme="minorEastAsia"/>
          <w:b w:val="0"/>
          <w:bCs w:val="0"/>
          <w:color w:val="auto"/>
          <w:sz w:val="32"/>
          <w:szCs w:val="32"/>
          <w:highlight w:val="none"/>
          <w:lang w:val="en-US" w:eastAsia="zh-CN"/>
        </w:rPr>
        <w:t>处置服务项目（废矿物油）</w:t>
      </w:r>
    </w:p>
    <w:tbl>
      <w:tblPr>
        <w:tblStyle w:val="2"/>
        <w:tblW w:w="921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1014"/>
        <w:gridCol w:w="1687"/>
        <w:gridCol w:w="1238"/>
        <w:gridCol w:w="1225"/>
        <w:gridCol w:w="1562"/>
        <w:gridCol w:w="1164"/>
        <w:gridCol w:w="1325"/>
      </w:tblGrid>
      <w:tr w14:paraId="28EF9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1251" w:hRule="exac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7483803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1974510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废物名称</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00AED5F7">
            <w:pPr>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计划处置数量（桶）</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4C6CCA4B">
            <w:pPr>
              <w:jc w:val="center"/>
              <w:rPr>
                <w:rFonts w:hint="eastAsia" w:asciiTheme="minorEastAsia" w:hAnsiTheme="minorEastAsia" w:eastAsiaTheme="minorEastAsia" w:cstheme="minorEastAsia"/>
                <w:b/>
                <w:bCs/>
                <w:i w:val="0"/>
                <w:iCs w:val="0"/>
                <w:caps w:val="0"/>
                <w:color w:val="FF0000"/>
                <w:spacing w:val="0"/>
                <w:sz w:val="24"/>
                <w:szCs w:val="24"/>
                <w:highlight w:val="none"/>
                <w:shd w:val="clear" w:color="auto" w:fill="FFFFFF"/>
              </w:rPr>
            </w:pPr>
            <w:r>
              <w:rPr>
                <w:rFonts w:hint="eastAsia" w:asciiTheme="minorEastAsia" w:hAnsiTheme="minorEastAsia" w:eastAsiaTheme="minorEastAsia" w:cstheme="minorEastAsia"/>
                <w:b w:val="0"/>
                <w:bCs w:val="0"/>
                <w:sz w:val="24"/>
                <w:szCs w:val="24"/>
                <w:highlight w:val="none"/>
                <w:lang w:val="en-US" w:eastAsia="zh-CN"/>
              </w:rPr>
              <w:t>回收处置服务单价</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i w:val="0"/>
                <w:iCs w:val="0"/>
                <w:caps w:val="0"/>
                <w:color w:val="auto"/>
                <w:spacing w:val="0"/>
                <w:sz w:val="24"/>
                <w:szCs w:val="24"/>
                <w:highlight w:val="none"/>
                <w:u w:val="none"/>
                <w:shd w:val="clear" w:color="auto" w:fill="FFFFFF"/>
              </w:rPr>
              <w:t>元/桶</w:t>
            </w:r>
            <w:r>
              <w:rPr>
                <w:rFonts w:hint="eastAsia" w:asciiTheme="minorEastAsia" w:hAnsiTheme="minorEastAsia" w:eastAsiaTheme="minorEastAsia" w:cstheme="minorEastAsia"/>
                <w:b w:val="0"/>
                <w:bCs w:val="0"/>
                <w:color w:val="auto"/>
                <w:sz w:val="24"/>
                <w:szCs w:val="24"/>
                <w:highlight w:val="none"/>
                <w:u w:val="none"/>
                <w:lang w:val="en-US" w:eastAsia="zh-CN"/>
              </w:rPr>
              <w:t>）</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6F65F3BC">
            <w:pPr>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p>
          <w:p w14:paraId="7326165A">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（元）</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17885F07">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最低有效报价（</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t>元/桶</w:t>
            </w:r>
            <w:r>
              <w:rPr>
                <w:rFonts w:hint="eastAsia" w:asciiTheme="minorEastAsia" w:hAnsiTheme="minorEastAsia" w:eastAsiaTheme="minorEastAsia" w:cstheme="minorEastAsia"/>
                <w:b w:val="0"/>
                <w:bCs w:val="0"/>
                <w:color w:val="auto"/>
                <w:sz w:val="24"/>
                <w:szCs w:val="24"/>
                <w:highlight w:val="none"/>
                <w:lang w:val="en-US" w:eastAsia="zh-CN"/>
              </w:rPr>
              <w:t>）</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71826928">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tc>
      </w:tr>
      <w:tr w14:paraId="2D2E7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2376" w:hRule="exac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766F558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7FF5B212">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废矿物油</w:t>
            </w:r>
          </w:p>
          <w:p w14:paraId="7C03B290">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HW08（900-214-08）</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795DFA7C">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2A11799F">
            <w:pPr>
              <w:jc w:val="center"/>
              <w:rPr>
                <w:rFonts w:hint="eastAsia" w:asciiTheme="minorEastAsia" w:hAnsiTheme="minorEastAsia" w:eastAsiaTheme="minorEastAsia" w:cstheme="minorEastAsia"/>
                <w:sz w:val="24"/>
                <w:szCs w:val="24"/>
                <w:highlight w:val="none"/>
                <w:lang w:val="en-US" w:eastAsia="zh-CN"/>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5AF2895D">
            <w:pPr>
              <w:jc w:val="center"/>
              <w:rPr>
                <w:rFonts w:hint="eastAsia" w:asciiTheme="minorEastAsia" w:hAnsiTheme="minorEastAsia" w:eastAsiaTheme="minorEastAsia" w:cstheme="minorEastAsia"/>
                <w:sz w:val="24"/>
                <w:szCs w:val="24"/>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538A4F8A">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584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58BA530F">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回收处置服务单价不得低于最低有效报价</w:t>
            </w:r>
          </w:p>
        </w:tc>
      </w:tr>
    </w:tbl>
    <w:p w14:paraId="4C3CAE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注：</w:t>
      </w:r>
    </w:p>
    <w:p w14:paraId="3A35FDE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sz w:val="24"/>
          <w:szCs w:val="24"/>
          <w:highlight w:val="none"/>
          <w:lang w:val="en-US" w:eastAsia="zh-CN"/>
        </w:rPr>
        <w:t>每桶按200L或180kg计算。</w:t>
      </w:r>
      <w:r>
        <w:rPr>
          <w:rFonts w:hint="eastAsia" w:asciiTheme="minorEastAsia" w:hAnsiTheme="minorEastAsia" w:eastAsiaTheme="minorEastAsia" w:cstheme="minorEastAsia"/>
          <w:color w:val="auto"/>
          <w:sz w:val="24"/>
          <w:szCs w:val="24"/>
          <w:highlight w:val="none"/>
          <w:lang w:val="en-US" w:eastAsia="zh-CN"/>
        </w:rPr>
        <w:t>回收处置服务单价不得低于最低有效报价，报价包含税费、打包费、装卸费、运输费、过磅费等一切回收相关费用，</w:t>
      </w:r>
      <w:r>
        <w:rPr>
          <w:rFonts w:hint="eastAsia" w:asciiTheme="minorEastAsia" w:hAnsiTheme="minorEastAsia" w:eastAsiaTheme="minorEastAsia" w:cstheme="minorEastAsia"/>
          <w:sz w:val="24"/>
          <w:szCs w:val="24"/>
          <w:highlight w:val="none"/>
          <w:lang w:val="en-US" w:eastAsia="zh-CN"/>
        </w:rPr>
        <w:t>未经我司书面同意，处置单位不得向我司额外收取其他费用</w:t>
      </w:r>
      <w:r>
        <w:rPr>
          <w:rFonts w:hint="eastAsia" w:asciiTheme="minorEastAsia" w:hAnsiTheme="minorEastAsia" w:eastAsiaTheme="minorEastAsia" w:cstheme="minorEastAsia"/>
          <w:bCs/>
          <w:sz w:val="24"/>
          <w:szCs w:val="24"/>
          <w:highlight w:val="none"/>
          <w:lang w:val="en-US" w:eastAsia="zh-CN"/>
        </w:rPr>
        <w:t>。</w:t>
      </w:r>
    </w:p>
    <w:p w14:paraId="66DACD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需提供《中山市公共交通运输集团有限公司公开询价选取危险废物及废旧物资处置服务单位的通告》要求的资质文件、营业执照复印件，并加盖公章。</w:t>
      </w:r>
    </w:p>
    <w:p w14:paraId="4F65FD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3、本表参选价格自报名</w:t>
      </w:r>
      <w:r>
        <w:rPr>
          <w:rFonts w:hint="eastAsia" w:asciiTheme="minorEastAsia" w:hAnsiTheme="minorEastAsia" w:eastAsiaTheme="minorEastAsia" w:cstheme="minorEastAsia"/>
          <w:bCs/>
          <w:sz w:val="24"/>
          <w:szCs w:val="24"/>
          <w:highlight w:val="none"/>
        </w:rPr>
        <w:t>截止</w:t>
      </w:r>
      <w:r>
        <w:rPr>
          <w:rFonts w:hint="eastAsia" w:asciiTheme="minorEastAsia" w:hAnsiTheme="minorEastAsia" w:eastAsiaTheme="minorEastAsia" w:cstheme="minorEastAsia"/>
          <w:bCs/>
          <w:sz w:val="24"/>
          <w:szCs w:val="24"/>
          <w:highlight w:val="none"/>
          <w:lang w:val="en-US" w:eastAsia="zh-CN"/>
        </w:rPr>
        <w:t>之</w:t>
      </w:r>
      <w:r>
        <w:rPr>
          <w:rFonts w:hint="eastAsia" w:asciiTheme="minorEastAsia" w:hAnsiTheme="minorEastAsia" w:eastAsiaTheme="minorEastAsia" w:cstheme="minorEastAsia"/>
          <w:bCs/>
          <w:sz w:val="24"/>
          <w:szCs w:val="24"/>
          <w:highlight w:val="none"/>
        </w:rPr>
        <w:t>日后</w:t>
      </w:r>
      <w:r>
        <w:rPr>
          <w:rFonts w:hint="eastAsia" w:asciiTheme="minorEastAsia" w:hAnsiTheme="minorEastAsia" w:eastAsiaTheme="minorEastAsia" w:cstheme="minorEastAsia"/>
          <w:bCs/>
          <w:sz w:val="24"/>
          <w:szCs w:val="24"/>
          <w:highlight w:val="none"/>
          <w:lang w:val="en-US" w:eastAsia="zh-CN"/>
        </w:rPr>
        <w:t>60</w:t>
      </w:r>
      <w:r>
        <w:rPr>
          <w:rFonts w:hint="eastAsia" w:asciiTheme="minorEastAsia" w:hAnsiTheme="minorEastAsia" w:eastAsiaTheme="minorEastAsia" w:cstheme="minorEastAsia"/>
          <w:bCs/>
          <w:sz w:val="24"/>
          <w:szCs w:val="24"/>
          <w:highlight w:val="none"/>
        </w:rPr>
        <w:t>天内有效。</w:t>
      </w:r>
    </w:p>
    <w:p w14:paraId="1C73E19D">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Cs/>
          <w:kern w:val="28"/>
          <w:sz w:val="24"/>
          <w:szCs w:val="24"/>
          <w:highlight w:val="none"/>
          <w:lang w:val="en-US" w:eastAsia="zh-CN"/>
        </w:rPr>
      </w:pPr>
      <w:r>
        <w:rPr>
          <w:rFonts w:hint="eastAsia" w:asciiTheme="minorEastAsia" w:hAnsiTheme="minorEastAsia" w:eastAsiaTheme="minorEastAsia" w:cstheme="minorEastAsia"/>
          <w:bCs/>
          <w:kern w:val="28"/>
          <w:sz w:val="24"/>
          <w:szCs w:val="24"/>
          <w:highlight w:val="none"/>
          <w:lang w:val="en-US" w:eastAsia="zh-CN"/>
        </w:rPr>
        <w:t>4、总价=</w:t>
      </w:r>
      <w:r>
        <w:rPr>
          <w:rFonts w:hint="eastAsia" w:asciiTheme="minorEastAsia" w:hAnsiTheme="minorEastAsia" w:eastAsiaTheme="minorEastAsia" w:cstheme="minorEastAsia"/>
          <w:b w:val="0"/>
          <w:bCs w:val="0"/>
          <w:sz w:val="24"/>
          <w:szCs w:val="24"/>
          <w:highlight w:val="none"/>
          <w:lang w:val="en-US" w:eastAsia="zh-CN"/>
        </w:rPr>
        <w:t>回收处置服务单价*</w:t>
      </w:r>
      <w:r>
        <w:rPr>
          <w:rFonts w:hint="eastAsia" w:asciiTheme="minorEastAsia" w:hAnsiTheme="minorEastAsia" w:eastAsiaTheme="minorEastAsia" w:cstheme="minorEastAsia"/>
          <w:sz w:val="24"/>
          <w:szCs w:val="24"/>
          <w:highlight w:val="none"/>
          <w:lang w:val="en-US" w:eastAsia="zh-CN"/>
        </w:rPr>
        <w:t>计划处置数量，若总价计算错误以单价为准。</w:t>
      </w:r>
    </w:p>
    <w:p w14:paraId="778916F4">
      <w:pPr>
        <w:keepNext w:val="0"/>
        <w:keepLines w:val="0"/>
        <w:pageBreakBefore w:val="0"/>
        <w:kinsoku/>
        <w:wordWrap/>
        <w:overflowPunct/>
        <w:topLinePunct w:val="0"/>
        <w:bidi w:val="0"/>
        <w:adjustRightInd w:val="0"/>
        <w:snapToGrid w:val="0"/>
        <w:spacing w:line="560" w:lineRule="exact"/>
        <w:rPr>
          <w:rFonts w:hint="eastAsia" w:asciiTheme="minorEastAsia" w:hAnsiTheme="minorEastAsia" w:eastAsiaTheme="minorEastAsia" w:cstheme="minorEastAsia"/>
          <w:bCs/>
          <w:sz w:val="24"/>
          <w:szCs w:val="24"/>
          <w:highlight w:val="none"/>
        </w:rPr>
      </w:pPr>
    </w:p>
    <w:p w14:paraId="019E95D8">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参评单位</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盖</w:t>
      </w:r>
      <w:r>
        <w:rPr>
          <w:rFonts w:hint="eastAsia" w:asciiTheme="minorEastAsia" w:hAnsiTheme="minorEastAsia" w:eastAsiaTheme="minorEastAsia" w:cstheme="minorEastAsia"/>
          <w:bCs/>
          <w:sz w:val="24"/>
          <w:szCs w:val="24"/>
          <w:highlight w:val="none"/>
        </w:rPr>
        <w:t xml:space="preserve">章）：         </w:t>
      </w:r>
    </w:p>
    <w:p w14:paraId="0C51D9B5">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被</w:t>
      </w:r>
      <w:r>
        <w:rPr>
          <w:rFonts w:hint="eastAsia" w:asciiTheme="minorEastAsia" w:hAnsiTheme="minorEastAsia" w:eastAsiaTheme="minorEastAsia" w:cstheme="minorEastAsia"/>
          <w:bCs/>
          <w:sz w:val="24"/>
          <w:szCs w:val="24"/>
          <w:highlight w:val="none"/>
        </w:rPr>
        <w:t>授权代表（签字）：</w:t>
      </w:r>
    </w:p>
    <w:p w14:paraId="395AD0FC">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联系电话：</w:t>
      </w:r>
      <w:r>
        <w:rPr>
          <w:rFonts w:hint="eastAsia" w:asciiTheme="minorEastAsia" w:hAnsiTheme="minorEastAsia" w:eastAsiaTheme="minorEastAsia" w:cstheme="minorEastAsia"/>
          <w:bCs/>
          <w:sz w:val="24"/>
          <w:szCs w:val="24"/>
          <w:highlight w:val="none"/>
        </w:rPr>
        <w:t xml:space="preserve">           </w:t>
      </w:r>
    </w:p>
    <w:p w14:paraId="34E6E468">
      <w:pPr>
        <w:keepNext w:val="0"/>
        <w:keepLines w:val="0"/>
        <w:pageBreakBefore w:val="0"/>
        <w:kinsoku/>
        <w:wordWrap/>
        <w:overflowPunct/>
        <w:topLinePunct w:val="0"/>
        <w:bidi w:val="0"/>
        <w:adjustRightInd w:val="0"/>
        <w:snapToGrid w:val="0"/>
        <w:spacing w:line="560" w:lineRule="exact"/>
        <w:ind w:firstLine="3120" w:firstLineChars="1300"/>
      </w:pPr>
      <w:r>
        <w:rPr>
          <w:rFonts w:hint="eastAsia" w:asciiTheme="minorEastAsia" w:hAnsiTheme="minorEastAsia" w:eastAsiaTheme="minorEastAsia" w:cstheme="minorEastAsia"/>
          <w:bCs/>
          <w:sz w:val="24"/>
          <w:szCs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A17CE"/>
    <w:rsid w:val="6DCA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2026-05-11T01:10:00Z</dcterms:created>
  <dc:creator>粤语CV-Gordon哥哥</dc:creator>
  <cp:lastModifiedBy>粤语CV-Gordon哥哥</cp:lastModifiedBy>
  <dcterms:modified xsi:type="dcterms:W3CDTF">2026-05-11T01:11:52Z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8F27CC0240524845AA2E53B83602B63A_11</vt:lpwstr>
  </property>
  <property fmtid="{D5CDD505-2E9C-101B-9397-08002B2CF9AE}" pid="4" name="KSOTemplateDocerSaveRecord">
    <vt:lpwstr>eyJoZGlkIjoiZTdmZTU0Mjc3MTE1MDNhNWM2MDM2YzZkYzEyYThhNzciLCJ1c2VySWQiOiI0MjAxNDk0NTQifQ==</vt:lpwstr>
  </property>
</Properties>
</file>